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ADE4" w14:textId="77777777" w:rsidR="00F57006" w:rsidRDefault="00E17904">
      <w:pPr>
        <w:spacing w:line="276" w:lineRule="auto"/>
        <w:jc w:val="center"/>
        <w:rPr>
          <w:rFonts w:ascii="Arial" w:eastAsia="Arial" w:hAnsi="Arial" w:cs="Arial"/>
          <w:b/>
          <w:sz w:val="22"/>
        </w:rPr>
      </w:pPr>
      <w:r>
        <w:rPr>
          <w:rFonts w:ascii="Arial" w:eastAsia="Arial" w:hAnsi="Arial" w:cs="Arial"/>
          <w:b/>
          <w:sz w:val="22"/>
        </w:rPr>
        <w:t>CRITICAL REVIEW FORM: THERAPY ARTICLES</w:t>
      </w:r>
    </w:p>
    <w:p w14:paraId="0F86EF81" w14:textId="77777777" w:rsidR="00F57006" w:rsidRDefault="00F57006">
      <w:pPr>
        <w:spacing w:line="276" w:lineRule="auto"/>
        <w:jc w:val="center"/>
        <w:rPr>
          <w:rFonts w:ascii="Arial" w:eastAsia="Arial" w:hAnsi="Arial" w:cs="Arial"/>
          <w:b/>
          <w:sz w:val="22"/>
        </w:rPr>
      </w:pPr>
    </w:p>
    <w:p w14:paraId="469EDC03" w14:textId="77777777" w:rsidR="00F57006" w:rsidRDefault="00E17904">
      <w:pPr>
        <w:spacing w:line="276" w:lineRule="auto"/>
        <w:rPr>
          <w:rFonts w:ascii="Arial" w:eastAsia="Arial" w:hAnsi="Arial" w:cs="Arial"/>
          <w:sz w:val="22"/>
        </w:rPr>
      </w:pPr>
      <w:r>
        <w:rPr>
          <w:rFonts w:ascii="Arial" w:eastAsia="Arial" w:hAnsi="Arial" w:cs="Arial"/>
          <w:b/>
          <w:sz w:val="22"/>
        </w:rPr>
        <w:t xml:space="preserve">Resident: </w:t>
      </w:r>
      <w:r>
        <w:rPr>
          <w:rFonts w:ascii="Arial" w:eastAsia="Arial" w:hAnsi="Arial" w:cs="Arial"/>
          <w:sz w:val="22"/>
        </w:rPr>
        <w:t xml:space="preserve"> Corey </w:t>
      </w:r>
      <w:proofErr w:type="spellStart"/>
      <w:r>
        <w:rPr>
          <w:rFonts w:ascii="Arial" w:eastAsia="Arial" w:hAnsi="Arial" w:cs="Arial"/>
          <w:sz w:val="22"/>
        </w:rPr>
        <w:t>Wasilnak</w:t>
      </w:r>
      <w:proofErr w:type="spellEnd"/>
      <w:r>
        <w:rPr>
          <w:rFonts w:ascii="Arial" w:eastAsia="Arial" w:hAnsi="Arial" w:cs="Arial"/>
          <w:b/>
          <w:sz w:val="22"/>
        </w:rPr>
        <w:tab/>
      </w:r>
      <w:r>
        <w:rPr>
          <w:rFonts w:ascii="Arial" w:eastAsia="Arial" w:hAnsi="Arial" w:cs="Arial"/>
          <w:b/>
          <w:sz w:val="22"/>
        </w:rPr>
        <w:tab/>
      </w:r>
      <w:r>
        <w:rPr>
          <w:rFonts w:ascii="Arial" w:eastAsia="Arial" w:hAnsi="Arial" w:cs="Arial"/>
          <w:b/>
          <w:sz w:val="22"/>
        </w:rPr>
        <w:tab/>
      </w:r>
      <w:r>
        <w:rPr>
          <w:rFonts w:ascii="Arial" w:eastAsia="Arial" w:hAnsi="Arial" w:cs="Arial"/>
          <w:b/>
          <w:sz w:val="22"/>
        </w:rPr>
        <w:tab/>
      </w:r>
      <w:r>
        <w:rPr>
          <w:rFonts w:ascii="Arial" w:eastAsia="Arial" w:hAnsi="Arial" w:cs="Arial"/>
          <w:b/>
          <w:sz w:val="22"/>
        </w:rPr>
        <w:tab/>
      </w:r>
      <w:r>
        <w:rPr>
          <w:rFonts w:ascii="Arial" w:eastAsia="Arial" w:hAnsi="Arial" w:cs="Arial"/>
          <w:b/>
          <w:sz w:val="22"/>
        </w:rPr>
        <w:tab/>
      </w:r>
      <w:r>
        <w:rPr>
          <w:rFonts w:ascii="Arial" w:eastAsia="Arial" w:hAnsi="Arial" w:cs="Arial"/>
          <w:b/>
          <w:sz w:val="22"/>
        </w:rPr>
        <w:tab/>
        <w:t xml:space="preserve">Date:  </w:t>
      </w:r>
      <w:r>
        <w:rPr>
          <w:rFonts w:ascii="Arial" w:eastAsia="Arial" w:hAnsi="Arial" w:cs="Arial"/>
          <w:sz w:val="22"/>
        </w:rPr>
        <w:t>02/24/22</w:t>
      </w:r>
    </w:p>
    <w:p w14:paraId="576B491D" w14:textId="77777777" w:rsidR="00F57006" w:rsidRDefault="00F57006">
      <w:pPr>
        <w:spacing w:line="276" w:lineRule="auto"/>
        <w:rPr>
          <w:rFonts w:ascii="Arial" w:eastAsia="Arial" w:hAnsi="Arial" w:cs="Arial"/>
          <w:sz w:val="22"/>
        </w:rPr>
      </w:pPr>
    </w:p>
    <w:p w14:paraId="49E0B833" w14:textId="77777777" w:rsidR="00F57006" w:rsidRPr="00353C42" w:rsidRDefault="00E17904">
      <w:pPr>
        <w:spacing w:line="276" w:lineRule="auto"/>
        <w:rPr>
          <w:rFonts w:ascii="Arial" w:eastAsia="Arial" w:hAnsi="Arial" w:cs="Arial"/>
          <w:sz w:val="22"/>
          <w:lang w:val="fr-FR"/>
        </w:rPr>
      </w:pPr>
      <w:proofErr w:type="gramStart"/>
      <w:r w:rsidRPr="00353C42">
        <w:rPr>
          <w:rFonts w:ascii="Arial" w:eastAsia="Arial" w:hAnsi="Arial" w:cs="Arial"/>
          <w:b/>
          <w:sz w:val="22"/>
          <w:lang w:val="fr-FR"/>
        </w:rPr>
        <w:t>Citation:</w:t>
      </w:r>
      <w:proofErr w:type="gramEnd"/>
    </w:p>
    <w:p w14:paraId="4D074E20" w14:textId="77777777" w:rsidR="00F57006" w:rsidRDefault="00E17904">
      <w:pPr>
        <w:spacing w:line="276" w:lineRule="auto"/>
        <w:rPr>
          <w:rFonts w:ascii="Arial" w:eastAsia="Arial" w:hAnsi="Arial" w:cs="Arial"/>
          <w:sz w:val="22"/>
        </w:rPr>
      </w:pPr>
      <w:r w:rsidRPr="00353C42">
        <w:rPr>
          <w:rFonts w:ascii="Arial" w:eastAsia="Arial" w:hAnsi="Arial" w:cs="Arial"/>
          <w:sz w:val="22"/>
          <w:lang w:val="fr-FR"/>
        </w:rPr>
        <w:t xml:space="preserve">Alshahrani, M. S., et al. </w:t>
      </w:r>
      <w:r>
        <w:rPr>
          <w:rFonts w:ascii="Arial" w:eastAsia="Arial" w:hAnsi="Arial" w:cs="Arial"/>
          <w:sz w:val="22"/>
        </w:rPr>
        <w:t xml:space="preserve">Ketamine administration for acute painful sickle cell crisis: a randomized control trial. </w:t>
      </w:r>
      <w:r>
        <w:rPr>
          <w:rFonts w:ascii="Arial" w:eastAsia="Arial" w:hAnsi="Arial" w:cs="Arial"/>
          <w:i/>
          <w:sz w:val="22"/>
        </w:rPr>
        <w:t>Academic Emergency Medicine.</w:t>
      </w:r>
      <w:r>
        <w:rPr>
          <w:rFonts w:ascii="Arial" w:eastAsia="Arial" w:hAnsi="Arial" w:cs="Arial"/>
          <w:sz w:val="22"/>
        </w:rPr>
        <w:t xml:space="preserve"> </w:t>
      </w:r>
      <w:proofErr w:type="gramStart"/>
      <w:r>
        <w:rPr>
          <w:rFonts w:ascii="Arial" w:eastAsia="Arial" w:hAnsi="Arial" w:cs="Arial"/>
          <w:sz w:val="22"/>
        </w:rPr>
        <w:t>2021;00:1</w:t>
      </w:r>
      <w:proofErr w:type="gramEnd"/>
      <w:r>
        <w:rPr>
          <w:rFonts w:ascii="Arial" w:eastAsia="Arial" w:hAnsi="Arial" w:cs="Arial"/>
          <w:sz w:val="22"/>
        </w:rPr>
        <w:t>-9.</w:t>
      </w:r>
    </w:p>
    <w:p w14:paraId="2C4CF40C" w14:textId="77777777" w:rsidR="00F57006" w:rsidRPr="00353C42" w:rsidRDefault="00F57006">
      <w:pPr>
        <w:spacing w:line="276" w:lineRule="auto"/>
        <w:rPr>
          <w:rFonts w:ascii="Arial" w:eastAsia="Arial" w:hAnsi="Arial" w:cs="Arial"/>
          <w:b/>
          <w:sz w:val="20"/>
          <w:szCs w:val="20"/>
        </w:rPr>
      </w:pPr>
    </w:p>
    <w:p w14:paraId="1F3B42B5" w14:textId="77777777" w:rsidR="00F57006" w:rsidRPr="00353C42" w:rsidRDefault="00E17904">
      <w:pPr>
        <w:spacing w:line="276" w:lineRule="auto"/>
        <w:rPr>
          <w:rFonts w:ascii="Arial" w:eastAsia="Arial" w:hAnsi="Arial" w:cs="Arial"/>
          <w:b/>
          <w:sz w:val="20"/>
          <w:szCs w:val="20"/>
        </w:rPr>
      </w:pPr>
      <w:r w:rsidRPr="00353C42">
        <w:rPr>
          <w:rFonts w:ascii="Arial" w:eastAsia="Arial" w:hAnsi="Arial" w:cs="Arial"/>
          <w:b/>
          <w:sz w:val="20"/>
          <w:szCs w:val="20"/>
        </w:rPr>
        <w:t xml:space="preserve">Study Objective: </w:t>
      </w:r>
    </w:p>
    <w:p w14:paraId="3F7AE522" w14:textId="77777777" w:rsidR="00F57006" w:rsidRPr="00353C42" w:rsidRDefault="00E17904">
      <w:pPr>
        <w:spacing w:line="276" w:lineRule="auto"/>
        <w:rPr>
          <w:rFonts w:ascii="Arial" w:eastAsia="Arial" w:hAnsi="Arial" w:cs="Arial"/>
          <w:sz w:val="20"/>
          <w:szCs w:val="20"/>
        </w:rPr>
      </w:pPr>
      <w:r w:rsidRPr="00353C42">
        <w:rPr>
          <w:rFonts w:ascii="Arial" w:eastAsia="Arial" w:hAnsi="Arial" w:cs="Arial"/>
          <w:sz w:val="20"/>
          <w:szCs w:val="20"/>
        </w:rPr>
        <w:t xml:space="preserve">“To evaluate the efficacy and safety of single-dose ketamine infusion in adults with sickle cell disease who presented with acute sickle cell </w:t>
      </w:r>
      <w:proofErr w:type="spellStart"/>
      <w:r w:rsidRPr="00353C42">
        <w:rPr>
          <w:rFonts w:ascii="Arial" w:eastAsia="Arial" w:hAnsi="Arial" w:cs="Arial"/>
          <w:sz w:val="20"/>
          <w:szCs w:val="20"/>
        </w:rPr>
        <w:t>vaso</w:t>
      </w:r>
      <w:proofErr w:type="spellEnd"/>
      <w:r w:rsidRPr="00353C42">
        <w:rPr>
          <w:rFonts w:ascii="Arial" w:eastAsia="Arial" w:hAnsi="Arial" w:cs="Arial"/>
          <w:sz w:val="20"/>
          <w:szCs w:val="20"/>
        </w:rPr>
        <w:t>-occlusive crisis.”</w:t>
      </w:r>
    </w:p>
    <w:p w14:paraId="68B518D9" w14:textId="77777777" w:rsidR="00F57006" w:rsidRPr="00353C42" w:rsidRDefault="00F57006">
      <w:pPr>
        <w:spacing w:line="276" w:lineRule="auto"/>
        <w:rPr>
          <w:rFonts w:ascii="Arial" w:eastAsia="Arial" w:hAnsi="Arial" w:cs="Arial"/>
          <w:sz w:val="20"/>
          <w:szCs w:val="20"/>
        </w:rPr>
      </w:pPr>
    </w:p>
    <w:p w14:paraId="06873253" w14:textId="77777777" w:rsidR="00F57006" w:rsidRPr="00353C42" w:rsidRDefault="00E17904">
      <w:pPr>
        <w:spacing w:line="276" w:lineRule="auto"/>
        <w:rPr>
          <w:rFonts w:ascii="Arial" w:eastAsia="Arial" w:hAnsi="Arial" w:cs="Arial"/>
          <w:sz w:val="20"/>
          <w:szCs w:val="20"/>
        </w:rPr>
      </w:pPr>
      <w:r w:rsidRPr="00353C42">
        <w:rPr>
          <w:rFonts w:ascii="Arial" w:eastAsia="Arial" w:hAnsi="Arial" w:cs="Arial"/>
          <w:sz w:val="20"/>
          <w:szCs w:val="20"/>
        </w:rPr>
        <w:t>Primary outcome: mean difference in the numerical pain rating scale (NPRS) over 2 hours (compared to morphine group)</w:t>
      </w:r>
    </w:p>
    <w:p w14:paraId="0BA24670" w14:textId="77777777" w:rsidR="00F57006" w:rsidRPr="00353C42" w:rsidRDefault="00E17904">
      <w:pPr>
        <w:spacing w:line="276" w:lineRule="auto"/>
        <w:rPr>
          <w:rFonts w:ascii="Arial" w:eastAsia="Arial" w:hAnsi="Arial" w:cs="Arial"/>
          <w:sz w:val="20"/>
          <w:szCs w:val="20"/>
        </w:rPr>
      </w:pPr>
      <w:r w:rsidRPr="00353C42">
        <w:rPr>
          <w:rFonts w:ascii="Arial" w:eastAsia="Arial" w:hAnsi="Arial" w:cs="Arial"/>
          <w:sz w:val="20"/>
          <w:szCs w:val="20"/>
        </w:rPr>
        <w:t>Secondary outcomes:</w:t>
      </w:r>
    </w:p>
    <w:p w14:paraId="6B74F793" w14:textId="77777777" w:rsidR="00F57006" w:rsidRPr="00353C42" w:rsidRDefault="00E17904">
      <w:pPr>
        <w:numPr>
          <w:ilvl w:val="0"/>
          <w:numId w:val="1"/>
        </w:numPr>
        <w:spacing w:line="276" w:lineRule="auto"/>
        <w:ind w:left="720" w:hanging="360"/>
        <w:rPr>
          <w:rFonts w:ascii="Arial" w:eastAsia="Arial" w:hAnsi="Arial" w:cs="Arial"/>
          <w:sz w:val="20"/>
          <w:szCs w:val="20"/>
        </w:rPr>
      </w:pPr>
      <w:r w:rsidRPr="00353C42">
        <w:rPr>
          <w:rFonts w:ascii="Arial" w:eastAsia="Arial" w:hAnsi="Arial" w:cs="Arial"/>
          <w:sz w:val="20"/>
          <w:szCs w:val="20"/>
        </w:rPr>
        <w:t>Cumulative dose of opioids</w:t>
      </w:r>
    </w:p>
    <w:p w14:paraId="014AA7C9" w14:textId="77777777" w:rsidR="00F57006" w:rsidRPr="00353C42" w:rsidRDefault="00E17904">
      <w:pPr>
        <w:numPr>
          <w:ilvl w:val="0"/>
          <w:numId w:val="1"/>
        </w:numPr>
        <w:spacing w:line="276" w:lineRule="auto"/>
        <w:ind w:left="720" w:hanging="360"/>
        <w:rPr>
          <w:rFonts w:ascii="Arial" w:eastAsia="Arial" w:hAnsi="Arial" w:cs="Arial"/>
          <w:sz w:val="20"/>
          <w:szCs w:val="20"/>
          <w:u w:val="single"/>
        </w:rPr>
      </w:pPr>
      <w:r w:rsidRPr="00353C42">
        <w:rPr>
          <w:rFonts w:ascii="Arial" w:eastAsia="Arial" w:hAnsi="Arial" w:cs="Arial"/>
          <w:sz w:val="20"/>
          <w:szCs w:val="20"/>
        </w:rPr>
        <w:t>ED LOS</w:t>
      </w:r>
    </w:p>
    <w:p w14:paraId="2813745B" w14:textId="77777777" w:rsidR="00F57006" w:rsidRPr="00353C42" w:rsidRDefault="00E17904">
      <w:pPr>
        <w:numPr>
          <w:ilvl w:val="0"/>
          <w:numId w:val="1"/>
        </w:numPr>
        <w:spacing w:line="276" w:lineRule="auto"/>
        <w:ind w:left="720" w:hanging="360"/>
        <w:rPr>
          <w:rFonts w:ascii="Arial" w:eastAsia="Arial" w:hAnsi="Arial" w:cs="Arial"/>
          <w:sz w:val="20"/>
          <w:szCs w:val="20"/>
          <w:u w:val="single"/>
        </w:rPr>
      </w:pPr>
      <w:r w:rsidRPr="00353C42">
        <w:rPr>
          <w:rFonts w:ascii="Arial" w:eastAsia="Arial" w:hAnsi="Arial" w:cs="Arial"/>
          <w:sz w:val="20"/>
          <w:szCs w:val="20"/>
        </w:rPr>
        <w:t>Hospital admission</w:t>
      </w:r>
    </w:p>
    <w:p w14:paraId="0D639297" w14:textId="77777777" w:rsidR="00F57006" w:rsidRPr="00353C42" w:rsidRDefault="00E17904">
      <w:pPr>
        <w:numPr>
          <w:ilvl w:val="0"/>
          <w:numId w:val="1"/>
        </w:numPr>
        <w:spacing w:line="276" w:lineRule="auto"/>
        <w:ind w:left="720" w:hanging="360"/>
        <w:rPr>
          <w:rFonts w:ascii="Arial" w:eastAsia="Arial" w:hAnsi="Arial" w:cs="Arial"/>
          <w:sz w:val="20"/>
          <w:szCs w:val="20"/>
          <w:u w:val="single"/>
        </w:rPr>
      </w:pPr>
      <w:r w:rsidRPr="00353C42">
        <w:rPr>
          <w:rFonts w:ascii="Arial" w:eastAsia="Arial" w:hAnsi="Arial" w:cs="Arial"/>
          <w:sz w:val="20"/>
          <w:szCs w:val="20"/>
        </w:rPr>
        <w:t>VS changes</w:t>
      </w:r>
    </w:p>
    <w:p w14:paraId="3FFB6D6E" w14:textId="77777777" w:rsidR="00F57006" w:rsidRPr="00353C42" w:rsidRDefault="00E17904">
      <w:pPr>
        <w:numPr>
          <w:ilvl w:val="0"/>
          <w:numId w:val="1"/>
        </w:numPr>
        <w:spacing w:line="276" w:lineRule="auto"/>
        <w:ind w:left="720" w:hanging="360"/>
        <w:rPr>
          <w:rFonts w:ascii="Arial" w:eastAsia="Arial" w:hAnsi="Arial" w:cs="Arial"/>
          <w:sz w:val="20"/>
          <w:szCs w:val="20"/>
          <w:u w:val="single"/>
        </w:rPr>
      </w:pPr>
      <w:r w:rsidRPr="00353C42">
        <w:rPr>
          <w:rFonts w:ascii="Arial" w:eastAsia="Arial" w:hAnsi="Arial" w:cs="Arial"/>
          <w:sz w:val="20"/>
          <w:szCs w:val="20"/>
        </w:rPr>
        <w:t>Drug-related side effects</w:t>
      </w:r>
    </w:p>
    <w:p w14:paraId="2BA1EA7E" w14:textId="77777777" w:rsidR="00F57006" w:rsidRPr="00353C42" w:rsidRDefault="00F57006">
      <w:pPr>
        <w:spacing w:line="276" w:lineRule="auto"/>
        <w:rPr>
          <w:rFonts w:ascii="Arial" w:eastAsia="Arial" w:hAnsi="Arial" w:cs="Arial"/>
          <w:sz w:val="20"/>
          <w:szCs w:val="20"/>
        </w:rPr>
      </w:pPr>
    </w:p>
    <w:p w14:paraId="7DADB78A" w14:textId="77777777" w:rsidR="00F57006" w:rsidRPr="00353C42" w:rsidRDefault="00E17904">
      <w:pPr>
        <w:spacing w:line="276" w:lineRule="auto"/>
        <w:rPr>
          <w:rFonts w:ascii="Arial" w:eastAsia="Arial" w:hAnsi="Arial" w:cs="Arial"/>
          <w:b/>
          <w:sz w:val="20"/>
          <w:szCs w:val="20"/>
        </w:rPr>
      </w:pPr>
      <w:r w:rsidRPr="00353C42">
        <w:rPr>
          <w:rFonts w:ascii="Arial" w:eastAsia="Arial" w:hAnsi="Arial" w:cs="Arial"/>
          <w:b/>
          <w:sz w:val="20"/>
          <w:szCs w:val="20"/>
        </w:rPr>
        <w:t xml:space="preserve">Study Methodology: </w:t>
      </w:r>
    </w:p>
    <w:p w14:paraId="0C672C30" w14:textId="77777777" w:rsidR="00F57006" w:rsidRPr="00353C42" w:rsidRDefault="00E17904">
      <w:pPr>
        <w:numPr>
          <w:ilvl w:val="0"/>
          <w:numId w:val="2"/>
        </w:numPr>
        <w:spacing w:line="276" w:lineRule="auto"/>
        <w:ind w:left="720" w:hanging="360"/>
        <w:rPr>
          <w:rFonts w:ascii="Arial" w:eastAsia="Arial" w:hAnsi="Arial" w:cs="Arial"/>
          <w:sz w:val="20"/>
          <w:szCs w:val="20"/>
          <w:u w:val="single"/>
        </w:rPr>
      </w:pPr>
      <w:r w:rsidRPr="00353C42">
        <w:rPr>
          <w:rFonts w:ascii="Arial" w:eastAsia="Arial" w:hAnsi="Arial" w:cs="Arial"/>
          <w:sz w:val="20"/>
          <w:szCs w:val="20"/>
        </w:rPr>
        <w:t>Prospective RCT</w:t>
      </w:r>
    </w:p>
    <w:p w14:paraId="6D16D512" w14:textId="77777777" w:rsidR="00F57006" w:rsidRPr="00353C42" w:rsidRDefault="00E17904">
      <w:pPr>
        <w:numPr>
          <w:ilvl w:val="0"/>
          <w:numId w:val="2"/>
        </w:numPr>
        <w:spacing w:line="276" w:lineRule="auto"/>
        <w:ind w:left="720" w:hanging="360"/>
        <w:rPr>
          <w:rFonts w:ascii="Arial" w:eastAsia="Arial" w:hAnsi="Arial" w:cs="Arial"/>
          <w:sz w:val="20"/>
          <w:szCs w:val="20"/>
          <w:u w:val="single"/>
        </w:rPr>
      </w:pPr>
      <w:r w:rsidRPr="00353C42">
        <w:rPr>
          <w:rFonts w:ascii="Arial" w:eastAsia="Arial" w:hAnsi="Arial" w:cs="Arial"/>
          <w:sz w:val="20"/>
          <w:szCs w:val="20"/>
        </w:rPr>
        <w:t>Parallel groups - randomized to single dose of ketamine or morphine</w:t>
      </w:r>
    </w:p>
    <w:p w14:paraId="1FF9171E" w14:textId="77777777" w:rsidR="00F57006" w:rsidRPr="00353C42" w:rsidRDefault="00E17904">
      <w:pPr>
        <w:numPr>
          <w:ilvl w:val="0"/>
          <w:numId w:val="2"/>
        </w:numPr>
        <w:spacing w:line="276" w:lineRule="auto"/>
        <w:ind w:left="720" w:hanging="360"/>
        <w:rPr>
          <w:rFonts w:ascii="Arial" w:eastAsia="Arial" w:hAnsi="Arial" w:cs="Arial"/>
          <w:sz w:val="20"/>
          <w:szCs w:val="20"/>
          <w:u w:val="single"/>
        </w:rPr>
      </w:pPr>
      <w:proofErr w:type="gramStart"/>
      <w:r w:rsidRPr="00353C42">
        <w:rPr>
          <w:rFonts w:ascii="Arial" w:eastAsia="Arial" w:hAnsi="Arial" w:cs="Arial"/>
          <w:sz w:val="20"/>
          <w:szCs w:val="20"/>
        </w:rPr>
        <w:t>Single-center</w:t>
      </w:r>
      <w:proofErr w:type="gramEnd"/>
      <w:r w:rsidRPr="00353C42">
        <w:rPr>
          <w:rFonts w:ascii="Arial" w:eastAsia="Arial" w:hAnsi="Arial" w:cs="Arial"/>
          <w:sz w:val="20"/>
          <w:szCs w:val="20"/>
        </w:rPr>
        <w:t>: ED at King Fahd Hospital</w:t>
      </w:r>
    </w:p>
    <w:p w14:paraId="31F88BE0" w14:textId="77777777" w:rsidR="00F57006" w:rsidRPr="00353C42" w:rsidRDefault="00E17904">
      <w:pPr>
        <w:numPr>
          <w:ilvl w:val="0"/>
          <w:numId w:val="2"/>
        </w:numPr>
        <w:spacing w:line="276" w:lineRule="auto"/>
        <w:ind w:left="1440" w:hanging="360"/>
        <w:rPr>
          <w:rFonts w:ascii="Arial" w:eastAsia="Arial" w:hAnsi="Arial" w:cs="Arial"/>
          <w:sz w:val="20"/>
          <w:szCs w:val="20"/>
          <w:u w:val="single"/>
        </w:rPr>
      </w:pPr>
      <w:r w:rsidRPr="00353C42">
        <w:rPr>
          <w:rFonts w:ascii="Arial" w:eastAsia="Arial" w:hAnsi="Arial" w:cs="Arial"/>
          <w:sz w:val="20"/>
          <w:szCs w:val="20"/>
        </w:rPr>
        <w:t>Large tertiary care center in Eastern Province of Saudi Arabia</w:t>
      </w:r>
    </w:p>
    <w:p w14:paraId="271AF023" w14:textId="77777777" w:rsidR="00F57006" w:rsidRPr="00353C42" w:rsidRDefault="00E17904">
      <w:pPr>
        <w:numPr>
          <w:ilvl w:val="0"/>
          <w:numId w:val="2"/>
        </w:numPr>
        <w:spacing w:line="276" w:lineRule="auto"/>
        <w:ind w:left="720" w:hanging="360"/>
        <w:rPr>
          <w:rFonts w:ascii="Arial" w:eastAsia="Arial" w:hAnsi="Arial" w:cs="Arial"/>
          <w:sz w:val="20"/>
          <w:szCs w:val="20"/>
          <w:u w:val="single"/>
        </w:rPr>
      </w:pPr>
      <w:r w:rsidRPr="00353C42">
        <w:rPr>
          <w:rFonts w:ascii="Arial" w:eastAsia="Arial" w:hAnsi="Arial" w:cs="Arial"/>
          <w:sz w:val="20"/>
          <w:szCs w:val="20"/>
        </w:rPr>
        <w:t xml:space="preserve">Patients: 18+ </w:t>
      </w:r>
      <w:proofErr w:type="spellStart"/>
      <w:r w:rsidRPr="00353C42">
        <w:rPr>
          <w:rFonts w:ascii="Arial" w:eastAsia="Arial" w:hAnsi="Arial" w:cs="Arial"/>
          <w:sz w:val="20"/>
          <w:szCs w:val="20"/>
        </w:rPr>
        <w:t>yo</w:t>
      </w:r>
      <w:proofErr w:type="spellEnd"/>
      <w:r w:rsidRPr="00353C42">
        <w:rPr>
          <w:rFonts w:ascii="Arial" w:eastAsia="Arial" w:hAnsi="Arial" w:cs="Arial"/>
          <w:sz w:val="20"/>
          <w:szCs w:val="20"/>
        </w:rPr>
        <w:t xml:space="preserve"> adults with SCD and NPRS &gt; 5 </w:t>
      </w:r>
    </w:p>
    <w:p w14:paraId="4F7B276F" w14:textId="77777777" w:rsidR="00F57006" w:rsidRPr="00353C42" w:rsidRDefault="00E17904">
      <w:pPr>
        <w:numPr>
          <w:ilvl w:val="0"/>
          <w:numId w:val="2"/>
        </w:numPr>
        <w:spacing w:line="276" w:lineRule="auto"/>
        <w:ind w:left="1440" w:hanging="360"/>
        <w:rPr>
          <w:rFonts w:ascii="Arial" w:eastAsia="Arial" w:hAnsi="Arial" w:cs="Arial"/>
          <w:sz w:val="20"/>
          <w:szCs w:val="20"/>
          <w:u w:val="single"/>
        </w:rPr>
      </w:pPr>
      <w:r w:rsidRPr="00353C42">
        <w:rPr>
          <w:rFonts w:ascii="Arial" w:eastAsia="Arial" w:hAnsi="Arial" w:cs="Arial"/>
          <w:sz w:val="20"/>
          <w:szCs w:val="20"/>
        </w:rPr>
        <w:t xml:space="preserve">Confirmed </w:t>
      </w:r>
      <w:proofErr w:type="spellStart"/>
      <w:r w:rsidRPr="00353C42">
        <w:rPr>
          <w:rFonts w:ascii="Arial" w:eastAsia="Arial" w:hAnsi="Arial" w:cs="Arial"/>
          <w:sz w:val="20"/>
          <w:szCs w:val="20"/>
        </w:rPr>
        <w:t>HgB</w:t>
      </w:r>
      <w:proofErr w:type="spellEnd"/>
      <w:r w:rsidRPr="00353C42">
        <w:rPr>
          <w:rFonts w:ascii="Arial" w:eastAsia="Arial" w:hAnsi="Arial" w:cs="Arial"/>
          <w:sz w:val="20"/>
          <w:szCs w:val="20"/>
        </w:rPr>
        <w:t xml:space="preserve"> electrophoresis</w:t>
      </w:r>
    </w:p>
    <w:p w14:paraId="42A4BA6C" w14:textId="77777777" w:rsidR="00F57006" w:rsidRPr="00353C42" w:rsidRDefault="00E17904">
      <w:pPr>
        <w:numPr>
          <w:ilvl w:val="0"/>
          <w:numId w:val="2"/>
        </w:numPr>
        <w:spacing w:line="276" w:lineRule="auto"/>
        <w:ind w:left="1440" w:hanging="360"/>
        <w:rPr>
          <w:rFonts w:ascii="Arial" w:eastAsia="Arial" w:hAnsi="Arial" w:cs="Arial"/>
          <w:sz w:val="20"/>
          <w:szCs w:val="20"/>
          <w:u w:val="single"/>
        </w:rPr>
      </w:pPr>
      <w:r w:rsidRPr="00353C42">
        <w:rPr>
          <w:rFonts w:ascii="Arial" w:eastAsia="Arial" w:hAnsi="Arial" w:cs="Arial"/>
          <w:sz w:val="20"/>
          <w:szCs w:val="20"/>
        </w:rPr>
        <w:t>Onset of symptoms &lt;7 days prior to presentation</w:t>
      </w:r>
    </w:p>
    <w:p w14:paraId="449086B1" w14:textId="77777777" w:rsidR="00F57006" w:rsidRPr="00353C42" w:rsidRDefault="00E17904">
      <w:pPr>
        <w:numPr>
          <w:ilvl w:val="0"/>
          <w:numId w:val="2"/>
        </w:numPr>
        <w:spacing w:line="276" w:lineRule="auto"/>
        <w:ind w:left="720" w:hanging="360"/>
        <w:rPr>
          <w:rFonts w:ascii="Arial" w:eastAsia="Arial" w:hAnsi="Arial" w:cs="Arial"/>
          <w:sz w:val="20"/>
          <w:szCs w:val="20"/>
          <w:u w:val="single"/>
        </w:rPr>
      </w:pPr>
      <w:r w:rsidRPr="00353C42">
        <w:rPr>
          <w:rFonts w:ascii="Arial" w:eastAsia="Arial" w:hAnsi="Arial" w:cs="Arial"/>
          <w:sz w:val="20"/>
          <w:szCs w:val="20"/>
        </w:rPr>
        <w:t>Exclusion criteria:</w:t>
      </w:r>
    </w:p>
    <w:p w14:paraId="778C1CBF" w14:textId="77777777" w:rsidR="00F57006" w:rsidRPr="00353C42" w:rsidRDefault="00E17904">
      <w:pPr>
        <w:numPr>
          <w:ilvl w:val="0"/>
          <w:numId w:val="2"/>
        </w:numPr>
        <w:spacing w:line="276" w:lineRule="auto"/>
        <w:ind w:left="1440" w:hanging="360"/>
        <w:rPr>
          <w:rFonts w:ascii="Arial" w:eastAsia="Arial" w:hAnsi="Arial" w:cs="Arial"/>
          <w:sz w:val="20"/>
          <w:szCs w:val="20"/>
          <w:u w:val="single"/>
        </w:rPr>
      </w:pPr>
      <w:r w:rsidRPr="00353C42">
        <w:rPr>
          <w:rFonts w:ascii="Arial" w:eastAsia="Arial" w:hAnsi="Arial" w:cs="Arial"/>
          <w:sz w:val="20"/>
          <w:szCs w:val="20"/>
        </w:rPr>
        <w:t>Pregnant/breast-feeding</w:t>
      </w:r>
    </w:p>
    <w:p w14:paraId="5537D388" w14:textId="77777777" w:rsidR="00F57006" w:rsidRPr="00353C42" w:rsidRDefault="00E17904">
      <w:pPr>
        <w:numPr>
          <w:ilvl w:val="0"/>
          <w:numId w:val="2"/>
        </w:numPr>
        <w:spacing w:line="276" w:lineRule="auto"/>
        <w:ind w:left="1440" w:hanging="360"/>
        <w:rPr>
          <w:rFonts w:ascii="Arial" w:eastAsia="Arial" w:hAnsi="Arial" w:cs="Arial"/>
          <w:sz w:val="20"/>
          <w:szCs w:val="20"/>
          <w:u w:val="single"/>
        </w:rPr>
      </w:pPr>
      <w:r w:rsidRPr="00353C42">
        <w:rPr>
          <w:rFonts w:ascii="Arial" w:eastAsia="Arial" w:hAnsi="Arial" w:cs="Arial"/>
          <w:sz w:val="20"/>
          <w:szCs w:val="20"/>
        </w:rPr>
        <w:t>BMI &gt;40</w:t>
      </w:r>
    </w:p>
    <w:p w14:paraId="59BAE3E4" w14:textId="77777777" w:rsidR="00F57006" w:rsidRPr="00353C42" w:rsidRDefault="00E17904">
      <w:pPr>
        <w:numPr>
          <w:ilvl w:val="0"/>
          <w:numId w:val="2"/>
        </w:numPr>
        <w:spacing w:line="276" w:lineRule="auto"/>
        <w:ind w:left="1440" w:hanging="360"/>
        <w:rPr>
          <w:rFonts w:ascii="Arial" w:eastAsia="Arial" w:hAnsi="Arial" w:cs="Arial"/>
          <w:sz w:val="20"/>
          <w:szCs w:val="20"/>
          <w:u w:val="single"/>
        </w:rPr>
      </w:pPr>
      <w:r w:rsidRPr="00353C42">
        <w:rPr>
          <w:rFonts w:ascii="Arial" w:eastAsia="Arial" w:hAnsi="Arial" w:cs="Arial"/>
          <w:sz w:val="20"/>
          <w:szCs w:val="20"/>
        </w:rPr>
        <w:t>Hx neurologic disease, seizure, acute head injury, psychiatric disorder</w:t>
      </w:r>
    </w:p>
    <w:p w14:paraId="71C599B6" w14:textId="77777777" w:rsidR="00F57006" w:rsidRPr="00353C42" w:rsidRDefault="00E17904">
      <w:pPr>
        <w:numPr>
          <w:ilvl w:val="0"/>
          <w:numId w:val="2"/>
        </w:numPr>
        <w:spacing w:line="276" w:lineRule="auto"/>
        <w:ind w:left="1440" w:hanging="360"/>
        <w:rPr>
          <w:rFonts w:ascii="Arial" w:eastAsia="Arial" w:hAnsi="Arial" w:cs="Arial"/>
          <w:sz w:val="20"/>
          <w:szCs w:val="20"/>
          <w:u w:val="single"/>
        </w:rPr>
      </w:pPr>
      <w:r w:rsidRPr="00353C42">
        <w:rPr>
          <w:rFonts w:ascii="Arial" w:eastAsia="Arial" w:hAnsi="Arial" w:cs="Arial"/>
          <w:sz w:val="20"/>
          <w:szCs w:val="20"/>
        </w:rPr>
        <w:t>Hx cardiac disease, pulmonary disease, renal disease, liver disease</w:t>
      </w:r>
    </w:p>
    <w:p w14:paraId="44A6CCEF" w14:textId="77777777" w:rsidR="00F57006" w:rsidRPr="00353C42" w:rsidRDefault="00E17904">
      <w:pPr>
        <w:numPr>
          <w:ilvl w:val="0"/>
          <w:numId w:val="2"/>
        </w:numPr>
        <w:spacing w:line="276" w:lineRule="auto"/>
        <w:ind w:left="1440" w:hanging="360"/>
        <w:rPr>
          <w:rFonts w:ascii="Arial" w:eastAsia="Arial" w:hAnsi="Arial" w:cs="Arial"/>
          <w:sz w:val="20"/>
          <w:szCs w:val="20"/>
          <w:u w:val="single"/>
        </w:rPr>
      </w:pPr>
      <w:r w:rsidRPr="00353C42">
        <w:rPr>
          <w:rFonts w:ascii="Arial" w:eastAsia="Arial" w:hAnsi="Arial" w:cs="Arial"/>
          <w:sz w:val="20"/>
          <w:szCs w:val="20"/>
        </w:rPr>
        <w:t>Allergy to study drugs</w:t>
      </w:r>
    </w:p>
    <w:p w14:paraId="4E10C35E" w14:textId="77777777" w:rsidR="00F57006" w:rsidRPr="00353C42" w:rsidRDefault="00E17904">
      <w:pPr>
        <w:numPr>
          <w:ilvl w:val="0"/>
          <w:numId w:val="2"/>
        </w:numPr>
        <w:spacing w:line="276" w:lineRule="auto"/>
        <w:ind w:left="1440" w:hanging="360"/>
        <w:rPr>
          <w:rFonts w:ascii="Arial" w:eastAsia="Arial" w:hAnsi="Arial" w:cs="Arial"/>
          <w:sz w:val="20"/>
          <w:szCs w:val="20"/>
          <w:u w:val="single"/>
        </w:rPr>
      </w:pPr>
      <w:r w:rsidRPr="00353C42">
        <w:rPr>
          <w:rFonts w:ascii="Arial" w:eastAsia="Arial" w:hAnsi="Arial" w:cs="Arial"/>
          <w:sz w:val="20"/>
          <w:szCs w:val="20"/>
        </w:rPr>
        <w:t>Sepsis/shock, ventilator support</w:t>
      </w:r>
    </w:p>
    <w:p w14:paraId="7423BF1E" w14:textId="77777777" w:rsidR="00F57006" w:rsidRPr="00353C42" w:rsidRDefault="00E17904">
      <w:pPr>
        <w:numPr>
          <w:ilvl w:val="0"/>
          <w:numId w:val="2"/>
        </w:numPr>
        <w:spacing w:line="276" w:lineRule="auto"/>
        <w:ind w:left="1440" w:hanging="360"/>
        <w:rPr>
          <w:rFonts w:ascii="Arial" w:eastAsia="Arial" w:hAnsi="Arial" w:cs="Arial"/>
          <w:sz w:val="20"/>
          <w:szCs w:val="20"/>
          <w:u w:val="single"/>
        </w:rPr>
      </w:pPr>
      <w:r w:rsidRPr="00353C42">
        <w:rPr>
          <w:rFonts w:ascii="Arial" w:eastAsia="Arial" w:hAnsi="Arial" w:cs="Arial"/>
          <w:sz w:val="20"/>
          <w:szCs w:val="20"/>
        </w:rPr>
        <w:t>Alcohol/drug abuse</w:t>
      </w:r>
    </w:p>
    <w:p w14:paraId="1A67D72A" w14:textId="77777777" w:rsidR="00F57006" w:rsidRPr="00353C42" w:rsidRDefault="00E17904">
      <w:pPr>
        <w:numPr>
          <w:ilvl w:val="0"/>
          <w:numId w:val="2"/>
        </w:numPr>
        <w:spacing w:line="276" w:lineRule="auto"/>
        <w:ind w:left="1440" w:hanging="360"/>
        <w:rPr>
          <w:rFonts w:ascii="Arial" w:eastAsia="Arial" w:hAnsi="Arial" w:cs="Arial"/>
          <w:sz w:val="20"/>
          <w:szCs w:val="20"/>
          <w:u w:val="single"/>
        </w:rPr>
      </w:pPr>
      <w:r w:rsidRPr="00353C42">
        <w:rPr>
          <w:rFonts w:ascii="Arial" w:eastAsia="Arial" w:hAnsi="Arial" w:cs="Arial"/>
          <w:sz w:val="20"/>
          <w:szCs w:val="20"/>
        </w:rPr>
        <w:t>Chronic pain unrelated to SCD</w:t>
      </w:r>
    </w:p>
    <w:p w14:paraId="1CB62413" w14:textId="77777777" w:rsidR="00F57006" w:rsidRPr="00353C42" w:rsidRDefault="00E17904">
      <w:pPr>
        <w:numPr>
          <w:ilvl w:val="0"/>
          <w:numId w:val="2"/>
        </w:numPr>
        <w:spacing w:line="276" w:lineRule="auto"/>
        <w:ind w:left="720" w:hanging="360"/>
        <w:rPr>
          <w:rFonts w:ascii="Arial" w:eastAsia="Arial" w:hAnsi="Arial" w:cs="Arial"/>
          <w:sz w:val="20"/>
          <w:szCs w:val="20"/>
          <w:u w:val="single"/>
        </w:rPr>
      </w:pPr>
      <w:r w:rsidRPr="00353C42">
        <w:rPr>
          <w:rFonts w:ascii="Arial" w:eastAsia="Arial" w:hAnsi="Arial" w:cs="Arial"/>
          <w:sz w:val="20"/>
          <w:szCs w:val="20"/>
        </w:rPr>
        <w:t>Randomized using computer program</w:t>
      </w:r>
    </w:p>
    <w:p w14:paraId="1292C120" w14:textId="77777777" w:rsidR="00F57006" w:rsidRPr="00353C42" w:rsidRDefault="00E17904">
      <w:pPr>
        <w:numPr>
          <w:ilvl w:val="0"/>
          <w:numId w:val="2"/>
        </w:numPr>
        <w:spacing w:line="276" w:lineRule="auto"/>
        <w:ind w:left="1440" w:hanging="360"/>
        <w:rPr>
          <w:rFonts w:ascii="Arial" w:eastAsia="Arial" w:hAnsi="Arial" w:cs="Arial"/>
          <w:sz w:val="20"/>
          <w:szCs w:val="20"/>
          <w:u w:val="single"/>
        </w:rPr>
      </w:pPr>
      <w:r w:rsidRPr="00353C42">
        <w:rPr>
          <w:rFonts w:ascii="Arial" w:eastAsia="Arial" w:hAnsi="Arial" w:cs="Arial"/>
          <w:sz w:val="20"/>
          <w:szCs w:val="20"/>
        </w:rPr>
        <w:t>Concealed randomization and treatment allocation</w:t>
      </w:r>
    </w:p>
    <w:p w14:paraId="2307A266" w14:textId="77777777" w:rsidR="00F57006" w:rsidRPr="00353C42" w:rsidRDefault="00E17904">
      <w:pPr>
        <w:numPr>
          <w:ilvl w:val="0"/>
          <w:numId w:val="2"/>
        </w:numPr>
        <w:spacing w:line="276" w:lineRule="auto"/>
        <w:ind w:left="1440" w:hanging="360"/>
        <w:rPr>
          <w:rFonts w:ascii="Arial" w:eastAsia="Arial" w:hAnsi="Arial" w:cs="Arial"/>
          <w:sz w:val="20"/>
          <w:szCs w:val="20"/>
          <w:u w:val="single"/>
        </w:rPr>
      </w:pPr>
      <w:r w:rsidRPr="00353C42">
        <w:rPr>
          <w:rFonts w:ascii="Arial" w:eastAsia="Arial" w:hAnsi="Arial" w:cs="Arial"/>
          <w:sz w:val="20"/>
          <w:szCs w:val="20"/>
        </w:rPr>
        <w:t>Participants, HCPs, data collectors, and outcome assessors blinded</w:t>
      </w:r>
    </w:p>
    <w:p w14:paraId="76EDD840" w14:textId="77777777" w:rsidR="00F57006" w:rsidRPr="00353C42" w:rsidRDefault="00E17904">
      <w:pPr>
        <w:numPr>
          <w:ilvl w:val="0"/>
          <w:numId w:val="2"/>
        </w:numPr>
        <w:spacing w:line="276" w:lineRule="auto"/>
        <w:ind w:left="1440" w:hanging="360"/>
        <w:rPr>
          <w:rFonts w:ascii="Arial" w:eastAsia="Arial" w:hAnsi="Arial" w:cs="Arial"/>
          <w:sz w:val="20"/>
          <w:szCs w:val="20"/>
          <w:u w:val="single"/>
        </w:rPr>
      </w:pPr>
      <w:r w:rsidRPr="00353C42">
        <w:rPr>
          <w:rFonts w:ascii="Arial" w:eastAsia="Arial" w:hAnsi="Arial" w:cs="Arial"/>
          <w:sz w:val="20"/>
          <w:szCs w:val="20"/>
        </w:rPr>
        <w:t>Bedside nursing giving meds also blinded</w:t>
      </w:r>
    </w:p>
    <w:p w14:paraId="1D8E0E1B" w14:textId="77777777" w:rsidR="00F57006" w:rsidRPr="00353C42" w:rsidRDefault="00E17904">
      <w:pPr>
        <w:numPr>
          <w:ilvl w:val="0"/>
          <w:numId w:val="2"/>
        </w:numPr>
        <w:spacing w:line="276" w:lineRule="auto"/>
        <w:ind w:left="720" w:hanging="360"/>
        <w:rPr>
          <w:rFonts w:ascii="Arial" w:eastAsia="Arial" w:hAnsi="Arial" w:cs="Arial"/>
          <w:b/>
          <w:sz w:val="20"/>
          <w:szCs w:val="20"/>
        </w:rPr>
      </w:pPr>
      <w:r w:rsidRPr="00353C42">
        <w:rPr>
          <w:rFonts w:ascii="Arial" w:eastAsia="Arial" w:hAnsi="Arial" w:cs="Arial"/>
          <w:b/>
          <w:sz w:val="20"/>
          <w:szCs w:val="20"/>
        </w:rPr>
        <w:t>Initially all patients presenting with VOC were given either acetaminophen 1 g IV or NSAID (lornoxicam/diclofenac) at physician discretion</w:t>
      </w:r>
    </w:p>
    <w:p w14:paraId="6DBFE936" w14:textId="77777777" w:rsidR="00F57006" w:rsidRDefault="00E17904">
      <w:pPr>
        <w:numPr>
          <w:ilvl w:val="0"/>
          <w:numId w:val="2"/>
        </w:numPr>
        <w:spacing w:line="276" w:lineRule="auto"/>
        <w:ind w:left="1440" w:hanging="360"/>
        <w:rPr>
          <w:rFonts w:ascii="Arial" w:eastAsia="Arial" w:hAnsi="Arial" w:cs="Arial"/>
          <w:sz w:val="22"/>
          <w:u w:val="single"/>
        </w:rPr>
      </w:pPr>
      <w:r>
        <w:rPr>
          <w:rFonts w:ascii="Arial" w:eastAsia="Arial" w:hAnsi="Arial" w:cs="Arial"/>
          <w:sz w:val="22"/>
        </w:rPr>
        <w:t>30 minutes later, patients with NPRS &gt; 5 were enrolled</w:t>
      </w:r>
    </w:p>
    <w:p w14:paraId="7662C0CA" w14:textId="77777777" w:rsidR="00F57006" w:rsidRDefault="00E17904">
      <w:pPr>
        <w:numPr>
          <w:ilvl w:val="0"/>
          <w:numId w:val="2"/>
        </w:numPr>
        <w:spacing w:line="276" w:lineRule="auto"/>
        <w:ind w:left="720" w:hanging="360"/>
        <w:rPr>
          <w:rFonts w:ascii="Arial" w:eastAsia="Arial" w:hAnsi="Arial" w:cs="Arial"/>
          <w:sz w:val="22"/>
          <w:u w:val="single"/>
        </w:rPr>
      </w:pPr>
      <w:r>
        <w:rPr>
          <w:rFonts w:ascii="Arial" w:eastAsia="Arial" w:hAnsi="Arial" w:cs="Arial"/>
          <w:sz w:val="22"/>
        </w:rPr>
        <w:t xml:space="preserve">Ketamine 0.3 mg/kg vs morphine 0.1 mg/kg </w:t>
      </w:r>
    </w:p>
    <w:p w14:paraId="458AEF1B" w14:textId="77777777" w:rsidR="00F57006" w:rsidRDefault="00E17904">
      <w:pPr>
        <w:numPr>
          <w:ilvl w:val="0"/>
          <w:numId w:val="2"/>
        </w:numPr>
        <w:spacing w:line="276" w:lineRule="auto"/>
        <w:ind w:left="1440" w:hanging="360"/>
        <w:rPr>
          <w:rFonts w:ascii="Arial" w:eastAsia="Arial" w:hAnsi="Arial" w:cs="Arial"/>
          <w:sz w:val="22"/>
          <w:u w:val="single"/>
        </w:rPr>
      </w:pPr>
      <w:r>
        <w:rPr>
          <w:rFonts w:ascii="Arial" w:eastAsia="Arial" w:hAnsi="Arial" w:cs="Arial"/>
          <w:sz w:val="22"/>
        </w:rPr>
        <w:t>Mixed in 100 cc NS bag</w:t>
      </w:r>
    </w:p>
    <w:p w14:paraId="7E03C409" w14:textId="77777777" w:rsidR="00F57006" w:rsidRDefault="00E17904">
      <w:pPr>
        <w:numPr>
          <w:ilvl w:val="0"/>
          <w:numId w:val="2"/>
        </w:numPr>
        <w:spacing w:line="276" w:lineRule="auto"/>
        <w:ind w:left="720" w:hanging="360"/>
        <w:rPr>
          <w:rFonts w:ascii="Arial" w:eastAsia="Arial" w:hAnsi="Arial" w:cs="Arial"/>
          <w:sz w:val="22"/>
          <w:u w:val="single"/>
        </w:rPr>
      </w:pPr>
      <w:r>
        <w:rPr>
          <w:rFonts w:ascii="Arial" w:eastAsia="Arial" w:hAnsi="Arial" w:cs="Arial"/>
          <w:sz w:val="22"/>
        </w:rPr>
        <w:t>Patients discharged after min. 120 minutes or admitted within 180 minutes</w:t>
      </w:r>
    </w:p>
    <w:p w14:paraId="71847651" w14:textId="77777777" w:rsidR="00F57006" w:rsidRDefault="00F57006">
      <w:pPr>
        <w:spacing w:line="276" w:lineRule="auto"/>
        <w:rPr>
          <w:rFonts w:ascii="Arial" w:eastAsia="Arial" w:hAnsi="Arial" w:cs="Arial"/>
          <w:sz w:val="22"/>
        </w:rPr>
      </w:pPr>
    </w:p>
    <w:p w14:paraId="01BBF4BF" w14:textId="77777777" w:rsidR="00F57006" w:rsidRDefault="00F57006">
      <w:pPr>
        <w:spacing w:line="276" w:lineRule="auto"/>
        <w:rPr>
          <w:rFonts w:ascii="Arial" w:eastAsia="Arial" w:hAnsi="Arial" w:cs="Arial"/>
          <w:sz w:val="22"/>
        </w:rPr>
      </w:pPr>
    </w:p>
    <w:p w14:paraId="22A8E57B" w14:textId="77777777" w:rsidR="00F57006" w:rsidRDefault="00F57006">
      <w:pPr>
        <w:spacing w:line="276" w:lineRule="auto"/>
        <w:rPr>
          <w:rFonts w:ascii="Arial" w:eastAsia="Arial" w:hAnsi="Arial" w:cs="Arial"/>
          <w:sz w:val="22"/>
        </w:rPr>
      </w:pPr>
    </w:p>
    <w:tbl>
      <w:tblPr>
        <w:tblW w:w="0" w:type="auto"/>
        <w:tblInd w:w="100" w:type="dxa"/>
        <w:tblCellMar>
          <w:left w:w="10" w:type="dxa"/>
          <w:right w:w="10" w:type="dxa"/>
        </w:tblCellMar>
        <w:tblLook w:val="0000" w:firstRow="0" w:lastRow="0" w:firstColumn="0" w:lastColumn="0" w:noHBand="0" w:noVBand="0"/>
      </w:tblPr>
      <w:tblGrid>
        <w:gridCol w:w="5156"/>
        <w:gridCol w:w="4084"/>
      </w:tblGrid>
      <w:tr w:rsidR="00F57006" w14:paraId="5EC77F2C" w14:textId="77777777">
        <w:trPr>
          <w:trHeight w:val="1"/>
        </w:trPr>
        <w:tc>
          <w:tcPr>
            <w:tcW w:w="52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44786BF7" w14:textId="77777777" w:rsidR="00F57006" w:rsidRDefault="00E17904">
            <w:pPr>
              <w:jc w:val="center"/>
              <w:rPr>
                <w:sz w:val="22"/>
              </w:rPr>
            </w:pPr>
            <w:r>
              <w:rPr>
                <w:rFonts w:ascii="Arial" w:eastAsia="Arial" w:hAnsi="Arial" w:cs="Arial"/>
                <w:b/>
                <w:sz w:val="22"/>
              </w:rPr>
              <w:t>GUIDE</w:t>
            </w:r>
          </w:p>
        </w:tc>
        <w:tc>
          <w:tcPr>
            <w:tcW w:w="4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5AD2A9C3" w14:textId="77777777" w:rsidR="00F57006" w:rsidRDefault="00E17904">
            <w:pPr>
              <w:jc w:val="center"/>
              <w:rPr>
                <w:sz w:val="22"/>
              </w:rPr>
            </w:pPr>
            <w:r>
              <w:rPr>
                <w:rFonts w:ascii="Arial" w:eastAsia="Arial" w:hAnsi="Arial" w:cs="Arial"/>
                <w:b/>
                <w:sz w:val="22"/>
              </w:rPr>
              <w:t>COMMENTS</w:t>
            </w:r>
          </w:p>
        </w:tc>
      </w:tr>
      <w:tr w:rsidR="00F57006" w14:paraId="1BCBD647" w14:textId="77777777">
        <w:trPr>
          <w:trHeight w:val="1"/>
        </w:trPr>
        <w:tc>
          <w:tcPr>
            <w:tcW w:w="52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266692F4" w14:textId="77777777" w:rsidR="00F57006" w:rsidRDefault="00E17904">
            <w:pPr>
              <w:numPr>
                <w:ilvl w:val="0"/>
                <w:numId w:val="3"/>
              </w:numPr>
              <w:ind w:left="720" w:hanging="360"/>
              <w:rPr>
                <w:sz w:val="22"/>
              </w:rPr>
            </w:pPr>
            <w:r>
              <w:rPr>
                <w:rFonts w:ascii="Arial" w:eastAsia="Arial" w:hAnsi="Arial" w:cs="Arial"/>
                <w:b/>
                <w:sz w:val="22"/>
              </w:rPr>
              <w:t>Are the results valid?</w:t>
            </w:r>
          </w:p>
        </w:tc>
        <w:tc>
          <w:tcPr>
            <w:tcW w:w="4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4820578F" w14:textId="77777777" w:rsidR="00F57006" w:rsidRDefault="00F57006">
            <w:pPr>
              <w:rPr>
                <w:rFonts w:ascii="Calibri" w:eastAsia="Calibri" w:hAnsi="Calibri" w:cs="Calibri"/>
                <w:sz w:val="22"/>
              </w:rPr>
            </w:pPr>
          </w:p>
        </w:tc>
      </w:tr>
      <w:tr w:rsidR="00F57006" w14:paraId="680C27D5" w14:textId="77777777">
        <w:trPr>
          <w:trHeight w:val="1"/>
        </w:trPr>
        <w:tc>
          <w:tcPr>
            <w:tcW w:w="52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75E826A6" w14:textId="77777777" w:rsidR="00F57006" w:rsidRDefault="00E17904">
            <w:pPr>
              <w:numPr>
                <w:ilvl w:val="0"/>
                <w:numId w:val="4"/>
              </w:numPr>
              <w:ind w:left="720" w:hanging="360"/>
              <w:rPr>
                <w:sz w:val="22"/>
              </w:rPr>
            </w:pPr>
            <w:r>
              <w:rPr>
                <w:rFonts w:ascii="Arial" w:eastAsia="Arial" w:hAnsi="Arial" w:cs="Arial"/>
                <w:b/>
                <w:sz w:val="22"/>
              </w:rPr>
              <w:t>Did experimental and control groups begin the study with a similar prognosis?</w:t>
            </w:r>
          </w:p>
        </w:tc>
        <w:tc>
          <w:tcPr>
            <w:tcW w:w="4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661FABBC" w14:textId="77777777" w:rsidR="00F57006" w:rsidRDefault="00E17904">
            <w:pPr>
              <w:rPr>
                <w:sz w:val="22"/>
              </w:rPr>
            </w:pPr>
            <w:r>
              <w:rPr>
                <w:rFonts w:ascii="Arial" w:eastAsia="Arial" w:hAnsi="Arial" w:cs="Arial"/>
                <w:sz w:val="22"/>
              </w:rPr>
              <w:t xml:space="preserve">Yes. Both VOC pain from SCD and patients with </w:t>
            </w:r>
            <w:proofErr w:type="gramStart"/>
            <w:r>
              <w:rPr>
                <w:rFonts w:ascii="Arial" w:eastAsia="Arial" w:hAnsi="Arial" w:cs="Arial"/>
                <w:sz w:val="22"/>
              </w:rPr>
              <w:t>a number of</w:t>
            </w:r>
            <w:proofErr w:type="gramEnd"/>
            <w:r>
              <w:rPr>
                <w:rFonts w:ascii="Arial" w:eastAsia="Arial" w:hAnsi="Arial" w:cs="Arial"/>
                <w:sz w:val="22"/>
              </w:rPr>
              <w:t xml:space="preserve"> medical comorbidities were excluded. Both groups with NPRS &gt; 5 at time of enrollment.</w:t>
            </w:r>
          </w:p>
        </w:tc>
      </w:tr>
      <w:tr w:rsidR="00F57006" w14:paraId="12019496" w14:textId="77777777">
        <w:tc>
          <w:tcPr>
            <w:tcW w:w="52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3560FCBB" w14:textId="77777777" w:rsidR="00F57006" w:rsidRDefault="00E17904">
            <w:pPr>
              <w:numPr>
                <w:ilvl w:val="0"/>
                <w:numId w:val="5"/>
              </w:numPr>
              <w:ind w:left="720" w:hanging="360"/>
              <w:rPr>
                <w:sz w:val="22"/>
              </w:rPr>
            </w:pPr>
            <w:r>
              <w:rPr>
                <w:rFonts w:ascii="Arial" w:eastAsia="Arial" w:hAnsi="Arial" w:cs="Arial"/>
                <w:sz w:val="22"/>
              </w:rPr>
              <w:t>Were patients randomized?</w:t>
            </w:r>
          </w:p>
        </w:tc>
        <w:tc>
          <w:tcPr>
            <w:tcW w:w="4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64CC706B" w14:textId="77777777" w:rsidR="00F57006" w:rsidRDefault="00E17904">
            <w:pPr>
              <w:rPr>
                <w:sz w:val="22"/>
              </w:rPr>
            </w:pPr>
            <w:r>
              <w:rPr>
                <w:rFonts w:ascii="Arial" w:eastAsia="Arial" w:hAnsi="Arial" w:cs="Arial"/>
                <w:sz w:val="22"/>
              </w:rPr>
              <w:t>Yes, using computer program</w:t>
            </w:r>
          </w:p>
        </w:tc>
      </w:tr>
      <w:tr w:rsidR="00F57006" w14:paraId="31491E3A" w14:textId="77777777">
        <w:trPr>
          <w:trHeight w:val="1"/>
        </w:trPr>
        <w:tc>
          <w:tcPr>
            <w:tcW w:w="52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61ADFE8E" w14:textId="77777777" w:rsidR="00F57006" w:rsidRDefault="00E17904">
            <w:pPr>
              <w:numPr>
                <w:ilvl w:val="0"/>
                <w:numId w:val="6"/>
              </w:numPr>
              <w:ind w:left="720" w:hanging="360"/>
              <w:rPr>
                <w:sz w:val="22"/>
              </w:rPr>
            </w:pPr>
            <w:r>
              <w:rPr>
                <w:rFonts w:ascii="Arial" w:eastAsia="Arial" w:hAnsi="Arial" w:cs="Arial"/>
                <w:sz w:val="22"/>
              </w:rPr>
              <w:t>Was randomization concealed (blinded)?  In other words, was it possible to subvert the randomization process to ensure that a patient would be “randomized” to a particular group?</w:t>
            </w:r>
          </w:p>
        </w:tc>
        <w:tc>
          <w:tcPr>
            <w:tcW w:w="4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6B0B7309" w14:textId="77777777" w:rsidR="00F57006" w:rsidRDefault="00E17904">
            <w:pPr>
              <w:rPr>
                <w:sz w:val="22"/>
              </w:rPr>
            </w:pPr>
            <w:r>
              <w:rPr>
                <w:rFonts w:ascii="Arial" w:eastAsia="Arial" w:hAnsi="Arial" w:cs="Arial"/>
                <w:sz w:val="22"/>
              </w:rPr>
              <w:t xml:space="preserve">Based on what is reported, blinding seems to be quite good. An </w:t>
            </w:r>
            <w:proofErr w:type="gramStart"/>
            <w:r>
              <w:rPr>
                <w:rFonts w:ascii="Arial" w:eastAsia="Arial" w:hAnsi="Arial" w:cs="Arial"/>
                <w:sz w:val="22"/>
              </w:rPr>
              <w:t>independent study nurse randomized patients</w:t>
            </w:r>
            <w:proofErr w:type="gramEnd"/>
            <w:r>
              <w:rPr>
                <w:rFonts w:ascii="Arial" w:eastAsia="Arial" w:hAnsi="Arial" w:cs="Arial"/>
                <w:sz w:val="22"/>
              </w:rPr>
              <w:t>, labeled the medication bags, and handed them to blinded bedside nurses. Physicians were blinded as well.</w:t>
            </w:r>
          </w:p>
        </w:tc>
      </w:tr>
      <w:tr w:rsidR="00F57006" w14:paraId="690969C5" w14:textId="77777777">
        <w:trPr>
          <w:trHeight w:val="1"/>
        </w:trPr>
        <w:tc>
          <w:tcPr>
            <w:tcW w:w="52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5D195795" w14:textId="77777777" w:rsidR="00F57006" w:rsidRDefault="00E17904">
            <w:pPr>
              <w:numPr>
                <w:ilvl w:val="0"/>
                <w:numId w:val="7"/>
              </w:numPr>
              <w:ind w:left="720" w:hanging="360"/>
              <w:rPr>
                <w:sz w:val="22"/>
              </w:rPr>
            </w:pPr>
            <w:r>
              <w:rPr>
                <w:rFonts w:ascii="Arial" w:eastAsia="Arial" w:hAnsi="Arial" w:cs="Arial"/>
                <w:sz w:val="22"/>
              </w:rPr>
              <w:t>Were patients analyzed in the groups to which they were randomized? (</w:t>
            </w:r>
            <w:proofErr w:type="gramStart"/>
            <w:r>
              <w:rPr>
                <w:rFonts w:ascii="Arial" w:eastAsia="Arial" w:hAnsi="Arial" w:cs="Arial"/>
                <w:i/>
                <w:sz w:val="22"/>
              </w:rPr>
              <w:t>intention</w:t>
            </w:r>
            <w:proofErr w:type="gramEnd"/>
            <w:r>
              <w:rPr>
                <w:rFonts w:ascii="Arial" w:eastAsia="Arial" w:hAnsi="Arial" w:cs="Arial"/>
                <w:i/>
                <w:sz w:val="22"/>
              </w:rPr>
              <w:t>-to-treat analysis</w:t>
            </w:r>
            <w:r>
              <w:rPr>
                <w:rFonts w:ascii="Arial" w:eastAsia="Arial" w:hAnsi="Arial" w:cs="Arial"/>
                <w:sz w:val="22"/>
              </w:rPr>
              <w:t>)</w:t>
            </w:r>
          </w:p>
        </w:tc>
        <w:tc>
          <w:tcPr>
            <w:tcW w:w="4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3041D808" w14:textId="77777777" w:rsidR="00F57006" w:rsidRDefault="00E17904">
            <w:pPr>
              <w:rPr>
                <w:sz w:val="22"/>
              </w:rPr>
            </w:pPr>
            <w:r>
              <w:rPr>
                <w:rFonts w:ascii="Arial" w:eastAsia="Arial" w:hAnsi="Arial" w:cs="Arial"/>
                <w:sz w:val="22"/>
              </w:rPr>
              <w:t>Yes, intention-to-treat analysis was performed, and it seems all 278 study participants were analyzed in their respective groups.</w:t>
            </w:r>
          </w:p>
        </w:tc>
      </w:tr>
      <w:tr w:rsidR="00F57006" w14:paraId="0D2E4257" w14:textId="77777777">
        <w:trPr>
          <w:trHeight w:val="1"/>
        </w:trPr>
        <w:tc>
          <w:tcPr>
            <w:tcW w:w="52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292B939E" w14:textId="77777777" w:rsidR="00F57006" w:rsidRDefault="00E17904">
            <w:pPr>
              <w:numPr>
                <w:ilvl w:val="0"/>
                <w:numId w:val="8"/>
              </w:numPr>
              <w:ind w:left="720" w:hanging="360"/>
              <w:rPr>
                <w:sz w:val="22"/>
              </w:rPr>
            </w:pPr>
            <w:r>
              <w:rPr>
                <w:rFonts w:ascii="Arial" w:eastAsia="Arial" w:hAnsi="Arial" w:cs="Arial"/>
                <w:sz w:val="22"/>
              </w:rPr>
              <w:t>Were patients in the treatment and control groups similar with respect to known prognostic factors?</w:t>
            </w:r>
          </w:p>
        </w:tc>
        <w:tc>
          <w:tcPr>
            <w:tcW w:w="4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07CAE134" w14:textId="77777777" w:rsidR="00F57006" w:rsidRDefault="00E17904">
            <w:pPr>
              <w:rPr>
                <w:sz w:val="22"/>
              </w:rPr>
            </w:pPr>
            <w:r>
              <w:rPr>
                <w:rFonts w:ascii="Arial" w:eastAsia="Arial" w:hAnsi="Arial" w:cs="Arial"/>
                <w:sz w:val="22"/>
              </w:rPr>
              <w:t>Yes, generally.</w:t>
            </w:r>
          </w:p>
        </w:tc>
      </w:tr>
      <w:tr w:rsidR="00F57006" w14:paraId="3FA8F74B" w14:textId="77777777">
        <w:trPr>
          <w:trHeight w:val="1"/>
        </w:trPr>
        <w:tc>
          <w:tcPr>
            <w:tcW w:w="52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42B3AACB" w14:textId="77777777" w:rsidR="00F57006" w:rsidRDefault="00E17904">
            <w:pPr>
              <w:numPr>
                <w:ilvl w:val="0"/>
                <w:numId w:val="9"/>
              </w:numPr>
              <w:ind w:left="720" w:hanging="360"/>
              <w:rPr>
                <w:sz w:val="22"/>
              </w:rPr>
            </w:pPr>
            <w:r>
              <w:rPr>
                <w:rFonts w:ascii="Arial" w:eastAsia="Arial" w:hAnsi="Arial" w:cs="Arial"/>
                <w:sz w:val="22"/>
              </w:rPr>
              <w:t>Were patients aware of group allocation?</w:t>
            </w:r>
          </w:p>
        </w:tc>
        <w:tc>
          <w:tcPr>
            <w:tcW w:w="4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01AC0784" w14:textId="77777777" w:rsidR="00F57006" w:rsidRDefault="00E17904">
            <w:pPr>
              <w:rPr>
                <w:sz w:val="22"/>
              </w:rPr>
            </w:pPr>
            <w:r>
              <w:rPr>
                <w:rFonts w:ascii="Arial" w:eastAsia="Arial" w:hAnsi="Arial" w:cs="Arial"/>
                <w:sz w:val="22"/>
              </w:rPr>
              <w:t>No, however in a patient who has received morphine in the past it is not unreasonable to think they may have been able to notice a difference in subjective experience of ketamine</w:t>
            </w:r>
          </w:p>
        </w:tc>
      </w:tr>
      <w:tr w:rsidR="00F57006" w14:paraId="7F657B15" w14:textId="77777777">
        <w:trPr>
          <w:trHeight w:val="1"/>
        </w:trPr>
        <w:tc>
          <w:tcPr>
            <w:tcW w:w="52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5023D5C2" w14:textId="77777777" w:rsidR="00F57006" w:rsidRDefault="00E17904">
            <w:pPr>
              <w:numPr>
                <w:ilvl w:val="0"/>
                <w:numId w:val="10"/>
              </w:numPr>
              <w:ind w:left="720" w:hanging="360"/>
              <w:rPr>
                <w:sz w:val="22"/>
              </w:rPr>
            </w:pPr>
            <w:r>
              <w:rPr>
                <w:rFonts w:ascii="Arial" w:eastAsia="Arial" w:hAnsi="Arial" w:cs="Arial"/>
                <w:sz w:val="22"/>
              </w:rPr>
              <w:t>Were clinicians aware of group allocation?</w:t>
            </w:r>
          </w:p>
        </w:tc>
        <w:tc>
          <w:tcPr>
            <w:tcW w:w="4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09CC5855" w14:textId="77777777" w:rsidR="00F57006" w:rsidRDefault="00E17904">
            <w:pPr>
              <w:rPr>
                <w:sz w:val="22"/>
              </w:rPr>
            </w:pPr>
            <w:r>
              <w:rPr>
                <w:rFonts w:ascii="Arial" w:eastAsia="Arial" w:hAnsi="Arial" w:cs="Arial"/>
                <w:sz w:val="22"/>
              </w:rPr>
              <w:t>No, but going along with previous, patients could have made comments to clinicians regarding their perception of the treatment drug which could potentially key clinicians into which treatment was received. There is no mention regarding physicians' direct interaction with patients.</w:t>
            </w:r>
          </w:p>
        </w:tc>
      </w:tr>
      <w:tr w:rsidR="00F57006" w14:paraId="0C36B026" w14:textId="77777777">
        <w:trPr>
          <w:trHeight w:val="1"/>
        </w:trPr>
        <w:tc>
          <w:tcPr>
            <w:tcW w:w="52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732FDC65" w14:textId="77777777" w:rsidR="00F57006" w:rsidRDefault="00E17904">
            <w:pPr>
              <w:numPr>
                <w:ilvl w:val="0"/>
                <w:numId w:val="11"/>
              </w:numPr>
              <w:ind w:left="720" w:hanging="360"/>
              <w:rPr>
                <w:sz w:val="22"/>
              </w:rPr>
            </w:pPr>
            <w:r>
              <w:rPr>
                <w:rFonts w:ascii="Arial" w:eastAsia="Arial" w:hAnsi="Arial" w:cs="Arial"/>
                <w:sz w:val="22"/>
              </w:rPr>
              <w:t>Were outcome assessors aware of group allocation?</w:t>
            </w:r>
          </w:p>
        </w:tc>
        <w:tc>
          <w:tcPr>
            <w:tcW w:w="4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0E2713FE" w14:textId="77777777" w:rsidR="00F57006" w:rsidRDefault="00E17904">
            <w:pPr>
              <w:rPr>
                <w:sz w:val="22"/>
              </w:rPr>
            </w:pPr>
            <w:r>
              <w:rPr>
                <w:rFonts w:ascii="Arial" w:eastAsia="Arial" w:hAnsi="Arial" w:cs="Arial"/>
                <w:sz w:val="22"/>
              </w:rPr>
              <w:t>No</w:t>
            </w:r>
          </w:p>
        </w:tc>
      </w:tr>
      <w:tr w:rsidR="00F57006" w14:paraId="725B1FF2" w14:textId="77777777">
        <w:trPr>
          <w:trHeight w:val="1"/>
        </w:trPr>
        <w:tc>
          <w:tcPr>
            <w:tcW w:w="52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2910501D" w14:textId="77777777" w:rsidR="00F57006" w:rsidRDefault="00E17904">
            <w:pPr>
              <w:numPr>
                <w:ilvl w:val="0"/>
                <w:numId w:val="12"/>
              </w:numPr>
              <w:ind w:left="720" w:hanging="360"/>
              <w:rPr>
                <w:sz w:val="22"/>
              </w:rPr>
            </w:pPr>
            <w:r>
              <w:rPr>
                <w:rFonts w:ascii="Arial" w:eastAsia="Arial" w:hAnsi="Arial" w:cs="Arial"/>
                <w:sz w:val="22"/>
              </w:rPr>
              <w:t>Was follow-up complete?</w:t>
            </w:r>
          </w:p>
        </w:tc>
        <w:tc>
          <w:tcPr>
            <w:tcW w:w="4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71DE25C0" w14:textId="77777777" w:rsidR="00F57006" w:rsidRDefault="00E17904">
            <w:pPr>
              <w:rPr>
                <w:sz w:val="22"/>
              </w:rPr>
            </w:pPr>
            <w:r>
              <w:rPr>
                <w:rFonts w:ascii="Arial" w:eastAsia="Arial" w:hAnsi="Arial" w:cs="Arial"/>
                <w:sz w:val="22"/>
              </w:rPr>
              <w:t>Follow-up was complete, as patients were either admitted or discharged (secondary outcome)</w:t>
            </w:r>
          </w:p>
        </w:tc>
      </w:tr>
      <w:tr w:rsidR="00F57006" w14:paraId="1B7E9FFD" w14:textId="77777777">
        <w:tc>
          <w:tcPr>
            <w:tcW w:w="52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2CE58804" w14:textId="77777777" w:rsidR="00F57006" w:rsidRDefault="00E17904">
            <w:pPr>
              <w:rPr>
                <w:sz w:val="22"/>
              </w:rPr>
            </w:pPr>
            <w:r>
              <w:rPr>
                <w:rFonts w:ascii="Arial" w:eastAsia="Arial" w:hAnsi="Arial" w:cs="Arial"/>
                <w:b/>
                <w:sz w:val="22"/>
              </w:rPr>
              <w:t xml:space="preserve">  II.    What are the results?</w:t>
            </w:r>
          </w:p>
        </w:tc>
        <w:tc>
          <w:tcPr>
            <w:tcW w:w="4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7C9FDA17" w14:textId="77777777" w:rsidR="00F57006" w:rsidRDefault="00E17904">
            <w:pPr>
              <w:rPr>
                <w:rFonts w:ascii="Calibri" w:eastAsia="Calibri" w:hAnsi="Calibri" w:cs="Calibri"/>
                <w:sz w:val="22"/>
              </w:rPr>
            </w:pPr>
            <w:proofErr w:type="spellStart"/>
            <w:r>
              <w:rPr>
                <w:rFonts w:ascii="Calibri" w:eastAsia="Calibri" w:hAnsi="Calibri" w:cs="Calibri"/>
                <w:sz w:val="22"/>
              </w:rPr>
              <w:t>Ketamin</w:t>
            </w:r>
            <w:proofErr w:type="spellEnd"/>
            <w:r>
              <w:rPr>
                <w:rFonts w:ascii="Calibri" w:eastAsia="Calibri" w:hAnsi="Calibri" w:cs="Calibri"/>
                <w:sz w:val="22"/>
              </w:rPr>
              <w:t xml:space="preserve"> non-superior to morphine in improving pain scores in SCD VOC with comparison of single dose. Ketamine did reduce the cumulative dose of opioid medication. No difference in </w:t>
            </w:r>
            <w:proofErr w:type="spellStart"/>
            <w:r>
              <w:rPr>
                <w:rFonts w:ascii="Calibri" w:eastAsia="Calibri" w:hAnsi="Calibri" w:cs="Calibri"/>
                <w:sz w:val="22"/>
              </w:rPr>
              <w:t>adverse affects</w:t>
            </w:r>
            <w:proofErr w:type="spellEnd"/>
            <w:r>
              <w:rPr>
                <w:rFonts w:ascii="Calibri" w:eastAsia="Calibri" w:hAnsi="Calibri" w:cs="Calibri"/>
                <w:sz w:val="22"/>
              </w:rPr>
              <w:t>, hospitalization, or VS changes.</w:t>
            </w:r>
          </w:p>
        </w:tc>
      </w:tr>
      <w:tr w:rsidR="00F57006" w14:paraId="3970E1CE" w14:textId="77777777">
        <w:trPr>
          <w:trHeight w:val="1"/>
        </w:trPr>
        <w:tc>
          <w:tcPr>
            <w:tcW w:w="52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63CC7BA8" w14:textId="77777777" w:rsidR="00F57006" w:rsidRDefault="00E17904">
            <w:pPr>
              <w:numPr>
                <w:ilvl w:val="0"/>
                <w:numId w:val="13"/>
              </w:numPr>
              <w:ind w:left="720" w:hanging="360"/>
              <w:rPr>
                <w:sz w:val="22"/>
              </w:rPr>
            </w:pPr>
            <w:r>
              <w:rPr>
                <w:rFonts w:ascii="Arial" w:eastAsia="Arial" w:hAnsi="Arial" w:cs="Arial"/>
                <w:sz w:val="22"/>
              </w:rPr>
              <w:lastRenderedPageBreak/>
              <w:t>How large was the treatment effect?</w:t>
            </w:r>
          </w:p>
        </w:tc>
        <w:tc>
          <w:tcPr>
            <w:tcW w:w="4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36B0D890" w14:textId="77777777" w:rsidR="00F57006" w:rsidRDefault="00E17904">
            <w:pPr>
              <w:rPr>
                <w:sz w:val="22"/>
              </w:rPr>
            </w:pPr>
            <w:r>
              <w:rPr>
                <w:rFonts w:ascii="Arial" w:eastAsia="Arial" w:hAnsi="Arial" w:cs="Arial"/>
                <w:sz w:val="22"/>
              </w:rPr>
              <w:t>No reduction in pain scores in ketamine compared to morphine. Cumulative dose of morphine reduced 0.06 mg/kg in ketamine group.</w:t>
            </w:r>
          </w:p>
        </w:tc>
      </w:tr>
      <w:tr w:rsidR="00F57006" w14:paraId="623C829C" w14:textId="77777777">
        <w:trPr>
          <w:trHeight w:val="1"/>
        </w:trPr>
        <w:tc>
          <w:tcPr>
            <w:tcW w:w="52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3A937F57" w14:textId="77777777" w:rsidR="00F57006" w:rsidRDefault="00E17904">
            <w:pPr>
              <w:numPr>
                <w:ilvl w:val="0"/>
                <w:numId w:val="14"/>
              </w:numPr>
              <w:ind w:left="720" w:hanging="360"/>
              <w:rPr>
                <w:sz w:val="22"/>
              </w:rPr>
            </w:pPr>
            <w:r>
              <w:rPr>
                <w:rFonts w:ascii="Arial" w:eastAsia="Arial" w:hAnsi="Arial" w:cs="Arial"/>
                <w:sz w:val="22"/>
              </w:rPr>
              <w:t>How precise was the estimate of the treatment effect? (CIs)</w:t>
            </w:r>
          </w:p>
        </w:tc>
        <w:tc>
          <w:tcPr>
            <w:tcW w:w="4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47890ED6" w14:textId="77777777" w:rsidR="00F57006" w:rsidRDefault="00E17904">
            <w:pPr>
              <w:rPr>
                <w:rFonts w:ascii="Arial" w:eastAsia="Arial" w:hAnsi="Arial" w:cs="Arial"/>
                <w:sz w:val="22"/>
              </w:rPr>
            </w:pPr>
            <w:r>
              <w:rPr>
                <w:rFonts w:ascii="Arial" w:eastAsia="Arial" w:hAnsi="Arial" w:cs="Arial"/>
                <w:sz w:val="22"/>
              </w:rPr>
              <w:t>NPRS CI (-0.34 to 0.60)</w:t>
            </w:r>
          </w:p>
          <w:p w14:paraId="700B0699" w14:textId="77777777" w:rsidR="00F57006" w:rsidRPr="00353C42" w:rsidRDefault="00E17904">
            <w:pPr>
              <w:rPr>
                <w:rFonts w:ascii="Arial" w:eastAsia="Arial" w:hAnsi="Arial" w:cs="Arial"/>
                <w:sz w:val="22"/>
                <w:lang w:val="it-IT"/>
              </w:rPr>
            </w:pPr>
            <w:r w:rsidRPr="00353C42">
              <w:rPr>
                <w:rFonts w:ascii="Arial" w:eastAsia="Arial" w:hAnsi="Arial" w:cs="Arial"/>
                <w:sz w:val="22"/>
                <w:lang w:val="it-IT"/>
              </w:rPr>
              <w:t>Cumulative opioid dose CI (.038 to 0.083)</w:t>
            </w:r>
          </w:p>
          <w:p w14:paraId="72091A22" w14:textId="77777777" w:rsidR="00F57006" w:rsidRDefault="00E17904">
            <w:pPr>
              <w:rPr>
                <w:sz w:val="22"/>
              </w:rPr>
            </w:pPr>
            <w:r>
              <w:rPr>
                <w:rFonts w:ascii="Arial" w:eastAsia="Arial" w:hAnsi="Arial" w:cs="Arial"/>
                <w:sz w:val="22"/>
              </w:rPr>
              <w:t>Very wide CI for primary outcome which was not significant. Narrow CI for secondary outcome of cumulative opioid use with small reduction in cumulative dosing.</w:t>
            </w:r>
          </w:p>
        </w:tc>
      </w:tr>
      <w:tr w:rsidR="00F57006" w14:paraId="795214C5" w14:textId="77777777">
        <w:trPr>
          <w:trHeight w:val="1"/>
        </w:trPr>
        <w:tc>
          <w:tcPr>
            <w:tcW w:w="52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466B890B" w14:textId="77777777" w:rsidR="00F57006" w:rsidRDefault="00E17904">
            <w:pPr>
              <w:rPr>
                <w:sz w:val="22"/>
              </w:rPr>
            </w:pPr>
            <w:r>
              <w:rPr>
                <w:rFonts w:ascii="Arial" w:eastAsia="Arial" w:hAnsi="Arial" w:cs="Arial"/>
                <w:b/>
                <w:sz w:val="22"/>
              </w:rPr>
              <w:t xml:space="preserve"> III.   How can I apply the results to patient care?</w:t>
            </w:r>
          </w:p>
        </w:tc>
        <w:tc>
          <w:tcPr>
            <w:tcW w:w="4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267533D4" w14:textId="77777777" w:rsidR="00F57006" w:rsidRDefault="00F57006">
            <w:pPr>
              <w:rPr>
                <w:rFonts w:ascii="Calibri" w:eastAsia="Calibri" w:hAnsi="Calibri" w:cs="Calibri"/>
                <w:sz w:val="22"/>
              </w:rPr>
            </w:pPr>
          </w:p>
        </w:tc>
      </w:tr>
      <w:tr w:rsidR="00F57006" w14:paraId="69EA6263" w14:textId="77777777">
        <w:trPr>
          <w:trHeight w:val="1"/>
        </w:trPr>
        <w:tc>
          <w:tcPr>
            <w:tcW w:w="52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5CF3B1B7" w14:textId="77777777" w:rsidR="00F57006" w:rsidRDefault="00E17904">
            <w:pPr>
              <w:numPr>
                <w:ilvl w:val="0"/>
                <w:numId w:val="15"/>
              </w:numPr>
              <w:ind w:left="720" w:hanging="360"/>
              <w:rPr>
                <w:sz w:val="22"/>
              </w:rPr>
            </w:pPr>
            <w:r>
              <w:rPr>
                <w:rFonts w:ascii="Arial" w:eastAsia="Arial" w:hAnsi="Arial" w:cs="Arial"/>
                <w:sz w:val="22"/>
              </w:rPr>
              <w:t xml:space="preserve">Were the study patients </w:t>
            </w:r>
            <w:proofErr w:type="gramStart"/>
            <w:r>
              <w:rPr>
                <w:rFonts w:ascii="Arial" w:eastAsia="Arial" w:hAnsi="Arial" w:cs="Arial"/>
                <w:sz w:val="22"/>
              </w:rPr>
              <w:t>similar to</w:t>
            </w:r>
            <w:proofErr w:type="gramEnd"/>
            <w:r>
              <w:rPr>
                <w:rFonts w:ascii="Arial" w:eastAsia="Arial" w:hAnsi="Arial" w:cs="Arial"/>
                <w:sz w:val="22"/>
              </w:rPr>
              <w:t xml:space="preserve"> my patient?</w:t>
            </w:r>
          </w:p>
        </w:tc>
        <w:tc>
          <w:tcPr>
            <w:tcW w:w="4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0BF5A5E8" w14:textId="77777777" w:rsidR="00F57006" w:rsidRDefault="00E17904">
            <w:pPr>
              <w:rPr>
                <w:sz w:val="22"/>
              </w:rPr>
            </w:pPr>
            <w:r>
              <w:rPr>
                <w:rFonts w:ascii="Arial" w:eastAsia="Arial" w:hAnsi="Arial" w:cs="Arial"/>
                <w:sz w:val="22"/>
              </w:rPr>
              <w:t xml:space="preserve">SCD patients are common anywhere, however chronic pain management may differ in Saudi Arabian population. The location in a tertiary care center is </w:t>
            </w:r>
            <w:proofErr w:type="gramStart"/>
            <w:r>
              <w:rPr>
                <w:rFonts w:ascii="Arial" w:eastAsia="Arial" w:hAnsi="Arial" w:cs="Arial"/>
                <w:sz w:val="22"/>
              </w:rPr>
              <w:t>similar to</w:t>
            </w:r>
            <w:proofErr w:type="gramEnd"/>
            <w:r>
              <w:rPr>
                <w:rFonts w:ascii="Arial" w:eastAsia="Arial" w:hAnsi="Arial" w:cs="Arial"/>
                <w:sz w:val="22"/>
              </w:rPr>
              <w:t xml:space="preserve"> SNGH. Different ethnic populations.</w:t>
            </w:r>
          </w:p>
        </w:tc>
      </w:tr>
      <w:tr w:rsidR="00F57006" w14:paraId="61283627" w14:textId="77777777">
        <w:trPr>
          <w:trHeight w:val="1"/>
        </w:trPr>
        <w:tc>
          <w:tcPr>
            <w:tcW w:w="52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5FCD5724" w14:textId="77777777" w:rsidR="00F57006" w:rsidRDefault="00E17904">
            <w:pPr>
              <w:numPr>
                <w:ilvl w:val="0"/>
                <w:numId w:val="16"/>
              </w:numPr>
              <w:ind w:left="720" w:hanging="360"/>
              <w:rPr>
                <w:sz w:val="22"/>
              </w:rPr>
            </w:pPr>
            <w:r>
              <w:rPr>
                <w:rFonts w:ascii="Arial" w:eastAsia="Arial" w:hAnsi="Arial" w:cs="Arial"/>
                <w:sz w:val="22"/>
              </w:rPr>
              <w:t>Were all clinically important outcomes considered?</w:t>
            </w:r>
          </w:p>
        </w:tc>
        <w:tc>
          <w:tcPr>
            <w:tcW w:w="4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6394DE7C" w14:textId="77777777" w:rsidR="00F57006" w:rsidRDefault="00E17904">
            <w:pPr>
              <w:rPr>
                <w:sz w:val="22"/>
              </w:rPr>
            </w:pPr>
            <w:r>
              <w:rPr>
                <w:rFonts w:ascii="Arial" w:eastAsia="Arial" w:hAnsi="Arial" w:cs="Arial"/>
                <w:sz w:val="22"/>
              </w:rPr>
              <w:t xml:space="preserve">I think most were, </w:t>
            </w:r>
            <w:proofErr w:type="gramStart"/>
            <w:r>
              <w:rPr>
                <w:rFonts w:ascii="Arial" w:eastAsia="Arial" w:hAnsi="Arial" w:cs="Arial"/>
                <w:sz w:val="22"/>
              </w:rPr>
              <w:t>however</w:t>
            </w:r>
            <w:proofErr w:type="gramEnd"/>
            <w:r>
              <w:rPr>
                <w:rFonts w:ascii="Arial" w:eastAsia="Arial" w:hAnsi="Arial" w:cs="Arial"/>
                <w:sz w:val="22"/>
              </w:rPr>
              <w:t xml:space="preserve"> cost was not addressed. An analysis of cost between two groups would add to comparison and clinical significance of ketamine vs opioid.</w:t>
            </w:r>
          </w:p>
        </w:tc>
      </w:tr>
      <w:tr w:rsidR="00F57006" w14:paraId="1FBB1610" w14:textId="77777777">
        <w:trPr>
          <w:trHeight w:val="1"/>
        </w:trPr>
        <w:tc>
          <w:tcPr>
            <w:tcW w:w="52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5EB260B7" w14:textId="77777777" w:rsidR="00F57006" w:rsidRDefault="00E17904">
            <w:pPr>
              <w:numPr>
                <w:ilvl w:val="0"/>
                <w:numId w:val="17"/>
              </w:numPr>
              <w:ind w:left="720" w:hanging="360"/>
              <w:rPr>
                <w:sz w:val="22"/>
              </w:rPr>
            </w:pPr>
            <w:r>
              <w:rPr>
                <w:rFonts w:ascii="Arial" w:eastAsia="Arial" w:hAnsi="Arial" w:cs="Arial"/>
                <w:sz w:val="22"/>
              </w:rPr>
              <w:t>Are the likely treatment benefits worth the potential harm and cost?</w:t>
            </w:r>
          </w:p>
        </w:tc>
        <w:tc>
          <w:tcPr>
            <w:tcW w:w="4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7C35318E" w14:textId="77777777" w:rsidR="00F57006" w:rsidRDefault="00E17904">
            <w:pPr>
              <w:rPr>
                <w:sz w:val="22"/>
              </w:rPr>
            </w:pPr>
            <w:r>
              <w:rPr>
                <w:rFonts w:ascii="Arial" w:eastAsia="Arial" w:hAnsi="Arial" w:cs="Arial"/>
                <w:sz w:val="22"/>
              </w:rPr>
              <w:t xml:space="preserve">In the context of the study there does not seem to be any difference in potential harm. In fact, there is theoretical benefit to less opioid dosing. </w:t>
            </w:r>
          </w:p>
        </w:tc>
      </w:tr>
    </w:tbl>
    <w:p w14:paraId="674A38DB" w14:textId="77777777" w:rsidR="00F57006" w:rsidRDefault="00F57006">
      <w:pPr>
        <w:spacing w:line="276" w:lineRule="auto"/>
        <w:rPr>
          <w:rFonts w:ascii="Arial" w:eastAsia="Arial" w:hAnsi="Arial" w:cs="Arial"/>
          <w:sz w:val="22"/>
        </w:rPr>
      </w:pPr>
    </w:p>
    <w:p w14:paraId="2574099E" w14:textId="77777777" w:rsidR="00F57006" w:rsidRDefault="00E17904">
      <w:pPr>
        <w:spacing w:line="276" w:lineRule="auto"/>
        <w:rPr>
          <w:rFonts w:ascii="Arial" w:eastAsia="Arial" w:hAnsi="Arial" w:cs="Arial"/>
          <w:sz w:val="22"/>
        </w:rPr>
      </w:pPr>
      <w:r>
        <w:rPr>
          <w:rFonts w:ascii="Arial" w:eastAsia="Arial" w:hAnsi="Arial" w:cs="Arial"/>
          <w:b/>
          <w:sz w:val="22"/>
        </w:rPr>
        <w:t>Limitations:</w:t>
      </w:r>
    </w:p>
    <w:p w14:paraId="6FA1C6FD" w14:textId="77777777" w:rsidR="00F57006" w:rsidRDefault="00E17904">
      <w:pPr>
        <w:numPr>
          <w:ilvl w:val="0"/>
          <w:numId w:val="18"/>
        </w:numPr>
        <w:spacing w:line="276" w:lineRule="auto"/>
        <w:ind w:left="720" w:hanging="360"/>
        <w:rPr>
          <w:rFonts w:ascii="Arial" w:eastAsia="Arial" w:hAnsi="Arial" w:cs="Arial"/>
          <w:sz w:val="22"/>
        </w:rPr>
      </w:pPr>
      <w:r>
        <w:rPr>
          <w:rFonts w:ascii="Arial" w:eastAsia="Arial" w:hAnsi="Arial" w:cs="Arial"/>
          <w:sz w:val="22"/>
        </w:rPr>
        <w:t>Dosing of medications</w:t>
      </w:r>
    </w:p>
    <w:p w14:paraId="2C5BDAE3" w14:textId="77777777" w:rsidR="00F57006" w:rsidRDefault="00E17904">
      <w:pPr>
        <w:numPr>
          <w:ilvl w:val="0"/>
          <w:numId w:val="18"/>
        </w:numPr>
        <w:spacing w:line="276" w:lineRule="auto"/>
        <w:ind w:left="1440" w:hanging="360"/>
        <w:rPr>
          <w:rFonts w:ascii="Arial" w:eastAsia="Arial" w:hAnsi="Arial" w:cs="Arial"/>
          <w:sz w:val="22"/>
          <w:u w:val="single"/>
        </w:rPr>
      </w:pPr>
      <w:r>
        <w:rPr>
          <w:rFonts w:ascii="Arial" w:eastAsia="Arial" w:hAnsi="Arial" w:cs="Arial"/>
          <w:sz w:val="22"/>
        </w:rPr>
        <w:t>Doses given in IV push bags - not typical for many EDs</w:t>
      </w:r>
    </w:p>
    <w:p w14:paraId="5AE8FD6C" w14:textId="77777777" w:rsidR="00F57006" w:rsidRDefault="00E17904">
      <w:pPr>
        <w:numPr>
          <w:ilvl w:val="0"/>
          <w:numId w:val="18"/>
        </w:numPr>
        <w:spacing w:line="276" w:lineRule="auto"/>
        <w:ind w:left="720" w:hanging="360"/>
        <w:rPr>
          <w:rFonts w:ascii="Arial" w:eastAsia="Arial" w:hAnsi="Arial" w:cs="Arial"/>
          <w:sz w:val="22"/>
          <w:u w:val="single"/>
        </w:rPr>
      </w:pPr>
      <w:r>
        <w:rPr>
          <w:rFonts w:ascii="Arial" w:eastAsia="Arial" w:hAnsi="Arial" w:cs="Arial"/>
          <w:sz w:val="22"/>
        </w:rPr>
        <w:t>Single center study</w:t>
      </w:r>
    </w:p>
    <w:p w14:paraId="374EF299" w14:textId="77777777" w:rsidR="00F57006" w:rsidRDefault="00E17904">
      <w:pPr>
        <w:numPr>
          <w:ilvl w:val="0"/>
          <w:numId w:val="18"/>
        </w:numPr>
        <w:spacing w:line="276" w:lineRule="auto"/>
        <w:ind w:left="1440" w:hanging="360"/>
        <w:rPr>
          <w:rFonts w:ascii="Arial" w:eastAsia="Arial" w:hAnsi="Arial" w:cs="Arial"/>
          <w:sz w:val="22"/>
          <w:u w:val="single"/>
        </w:rPr>
      </w:pPr>
      <w:r>
        <w:rPr>
          <w:rFonts w:ascii="Arial" w:eastAsia="Arial" w:hAnsi="Arial" w:cs="Arial"/>
          <w:sz w:val="22"/>
        </w:rPr>
        <w:t>Limited external validity</w:t>
      </w:r>
    </w:p>
    <w:p w14:paraId="6ABDB3AB" w14:textId="77777777" w:rsidR="00F57006" w:rsidRDefault="00E17904">
      <w:pPr>
        <w:numPr>
          <w:ilvl w:val="0"/>
          <w:numId w:val="18"/>
        </w:numPr>
        <w:spacing w:line="276" w:lineRule="auto"/>
        <w:ind w:left="720" w:hanging="360"/>
        <w:rPr>
          <w:rFonts w:ascii="Arial" w:eastAsia="Arial" w:hAnsi="Arial" w:cs="Arial"/>
          <w:sz w:val="22"/>
          <w:u w:val="single"/>
        </w:rPr>
      </w:pPr>
      <w:r>
        <w:rPr>
          <w:rFonts w:ascii="Arial" w:eastAsia="Arial" w:hAnsi="Arial" w:cs="Arial"/>
          <w:sz w:val="22"/>
        </w:rPr>
        <w:t>Potential for unblinding from patient reactions, comments, and symptoms</w:t>
      </w:r>
    </w:p>
    <w:p w14:paraId="0AA28A08" w14:textId="77777777" w:rsidR="00F57006" w:rsidRDefault="00E17904">
      <w:pPr>
        <w:numPr>
          <w:ilvl w:val="0"/>
          <w:numId w:val="18"/>
        </w:numPr>
        <w:spacing w:line="276" w:lineRule="auto"/>
        <w:ind w:left="720" w:hanging="360"/>
        <w:rPr>
          <w:rFonts w:ascii="Arial" w:eastAsia="Arial" w:hAnsi="Arial" w:cs="Arial"/>
          <w:sz w:val="22"/>
          <w:u w:val="single"/>
        </w:rPr>
      </w:pPr>
      <w:r>
        <w:rPr>
          <w:rFonts w:ascii="Arial" w:eastAsia="Arial" w:hAnsi="Arial" w:cs="Arial"/>
          <w:sz w:val="22"/>
        </w:rPr>
        <w:t>Fixed ketamine dosing - single dose compared to single dose morphine though with potential for repeat opioid dosing</w:t>
      </w:r>
    </w:p>
    <w:p w14:paraId="1895FF65" w14:textId="77777777" w:rsidR="00F57006" w:rsidRDefault="00F57006">
      <w:pPr>
        <w:spacing w:line="276" w:lineRule="auto"/>
        <w:rPr>
          <w:rFonts w:ascii="Arial" w:eastAsia="Arial" w:hAnsi="Arial" w:cs="Arial"/>
          <w:sz w:val="22"/>
        </w:rPr>
      </w:pPr>
    </w:p>
    <w:p w14:paraId="4D7378CB" w14:textId="77777777" w:rsidR="00F57006" w:rsidRDefault="00E17904">
      <w:pPr>
        <w:spacing w:line="276" w:lineRule="auto"/>
        <w:rPr>
          <w:rFonts w:ascii="Arial" w:eastAsia="Arial" w:hAnsi="Arial" w:cs="Arial"/>
          <w:b/>
          <w:sz w:val="22"/>
        </w:rPr>
      </w:pPr>
      <w:r>
        <w:rPr>
          <w:rFonts w:ascii="Arial" w:eastAsia="Arial" w:hAnsi="Arial" w:cs="Arial"/>
          <w:b/>
          <w:sz w:val="22"/>
        </w:rPr>
        <w:t>Clinical Bottom Line:</w:t>
      </w:r>
    </w:p>
    <w:p w14:paraId="61EDD8F0" w14:textId="77777777" w:rsidR="00F57006" w:rsidRDefault="00E17904">
      <w:pPr>
        <w:spacing w:line="276" w:lineRule="auto"/>
        <w:rPr>
          <w:rFonts w:ascii="Arial" w:eastAsia="Arial" w:hAnsi="Arial" w:cs="Arial"/>
          <w:sz w:val="22"/>
        </w:rPr>
      </w:pPr>
      <w:r>
        <w:rPr>
          <w:rFonts w:ascii="Arial" w:eastAsia="Arial" w:hAnsi="Arial" w:cs="Arial"/>
          <w:sz w:val="22"/>
        </w:rPr>
        <w:t xml:space="preserve">In a single-center RCT, ketamine was not superior compared to morphine in reducing pain scores in patients presenting with </w:t>
      </w:r>
      <w:proofErr w:type="spellStart"/>
      <w:r>
        <w:rPr>
          <w:rFonts w:ascii="Arial" w:eastAsia="Arial" w:hAnsi="Arial" w:cs="Arial"/>
          <w:sz w:val="22"/>
        </w:rPr>
        <w:t>vaso</w:t>
      </w:r>
      <w:proofErr w:type="spellEnd"/>
      <w:r>
        <w:rPr>
          <w:rFonts w:ascii="Arial" w:eastAsia="Arial" w:hAnsi="Arial" w:cs="Arial"/>
          <w:sz w:val="22"/>
        </w:rPr>
        <w:t>-occlusive crisis from SCD. However, ketamine use did decrease the cumulative dosing of opioids (</w:t>
      </w:r>
      <w:proofErr w:type="gramStart"/>
      <w:r>
        <w:rPr>
          <w:rFonts w:ascii="Arial" w:eastAsia="Arial" w:hAnsi="Arial" w:cs="Arial"/>
          <w:sz w:val="22"/>
        </w:rPr>
        <w:t>i.e.</w:t>
      </w:r>
      <w:proofErr w:type="gramEnd"/>
      <w:r>
        <w:rPr>
          <w:rFonts w:ascii="Arial" w:eastAsia="Arial" w:hAnsi="Arial" w:cs="Arial"/>
          <w:sz w:val="22"/>
        </w:rPr>
        <w:t xml:space="preserve"> morphine) without affecting hospital admission or producing increased adverse events. The study was well constructed and well-blinded, however opportunities for unblinding may have existed. Based on the results, ketamine is a viable option in treating SCD VOC and may have benefit in reducing the total amount of opioid dosing, without significantly out-performing morphine in pain control.</w:t>
      </w:r>
    </w:p>
    <w:sectPr w:rsidR="00F57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38E"/>
    <w:multiLevelType w:val="multilevel"/>
    <w:tmpl w:val="318E7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E5E67"/>
    <w:multiLevelType w:val="multilevel"/>
    <w:tmpl w:val="DCB49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473E2E"/>
    <w:multiLevelType w:val="multilevel"/>
    <w:tmpl w:val="3E444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813442"/>
    <w:multiLevelType w:val="multilevel"/>
    <w:tmpl w:val="06DC9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3F6F68"/>
    <w:multiLevelType w:val="multilevel"/>
    <w:tmpl w:val="5832E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AC4BE3"/>
    <w:multiLevelType w:val="multilevel"/>
    <w:tmpl w:val="30C08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5C76C7"/>
    <w:multiLevelType w:val="multilevel"/>
    <w:tmpl w:val="0B62E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8F1C97"/>
    <w:multiLevelType w:val="multilevel"/>
    <w:tmpl w:val="01EC0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AA48FF"/>
    <w:multiLevelType w:val="multilevel"/>
    <w:tmpl w:val="29180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E1112A"/>
    <w:multiLevelType w:val="multilevel"/>
    <w:tmpl w:val="63AEA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CD4EAD"/>
    <w:multiLevelType w:val="multilevel"/>
    <w:tmpl w:val="2452D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7449E0"/>
    <w:multiLevelType w:val="multilevel"/>
    <w:tmpl w:val="DB2A9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422332"/>
    <w:multiLevelType w:val="multilevel"/>
    <w:tmpl w:val="D16A5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F971E9"/>
    <w:multiLevelType w:val="multilevel"/>
    <w:tmpl w:val="AB464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1E21D5"/>
    <w:multiLevelType w:val="multilevel"/>
    <w:tmpl w:val="4D288E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BE26C9"/>
    <w:multiLevelType w:val="multilevel"/>
    <w:tmpl w:val="42D8E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D96494"/>
    <w:multiLevelType w:val="multilevel"/>
    <w:tmpl w:val="8ADEE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54527D"/>
    <w:multiLevelType w:val="multilevel"/>
    <w:tmpl w:val="75B07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0"/>
  </w:num>
  <w:num w:numId="4">
    <w:abstractNumId w:val="3"/>
  </w:num>
  <w:num w:numId="5">
    <w:abstractNumId w:val="17"/>
  </w:num>
  <w:num w:numId="6">
    <w:abstractNumId w:val="5"/>
  </w:num>
  <w:num w:numId="7">
    <w:abstractNumId w:val="13"/>
  </w:num>
  <w:num w:numId="8">
    <w:abstractNumId w:val="9"/>
  </w:num>
  <w:num w:numId="9">
    <w:abstractNumId w:val="15"/>
  </w:num>
  <w:num w:numId="10">
    <w:abstractNumId w:val="1"/>
  </w:num>
  <w:num w:numId="11">
    <w:abstractNumId w:val="4"/>
  </w:num>
  <w:num w:numId="12">
    <w:abstractNumId w:val="14"/>
  </w:num>
  <w:num w:numId="13">
    <w:abstractNumId w:val="7"/>
  </w:num>
  <w:num w:numId="14">
    <w:abstractNumId w:val="8"/>
  </w:num>
  <w:num w:numId="15">
    <w:abstractNumId w:val="2"/>
  </w:num>
  <w:num w:numId="16">
    <w:abstractNumId w:val="6"/>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06"/>
    <w:rsid w:val="00353C42"/>
    <w:rsid w:val="00383B39"/>
    <w:rsid w:val="00E17904"/>
    <w:rsid w:val="00F570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20BA06D"/>
  <w15:docId w15:val="{D8132596-2DDB-2F43-AC08-1946EA9B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Graffeo</cp:lastModifiedBy>
  <cp:revision>2</cp:revision>
  <cp:lastPrinted>2022-03-28T15:56:00Z</cp:lastPrinted>
  <dcterms:created xsi:type="dcterms:W3CDTF">2022-03-28T16:11:00Z</dcterms:created>
  <dcterms:modified xsi:type="dcterms:W3CDTF">2022-03-28T16:11:00Z</dcterms:modified>
</cp:coreProperties>
</file>